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50F" w:rsidRDefault="00E078D2">
      <w:pPr>
        <w:kinsoku w:val="0"/>
        <w:overflowPunct w:val="0"/>
        <w:autoSpaceDE/>
        <w:autoSpaceDN/>
        <w:adjustRightInd/>
        <w:spacing w:before="1" w:line="281" w:lineRule="exact"/>
        <w:ind w:left="72"/>
        <w:jc w:val="center"/>
        <w:textAlignment w:val="baseline"/>
        <w:rPr>
          <w:rFonts w:ascii="Verdana" w:hAnsi="Verdana" w:cs="Verdana"/>
          <w:b/>
          <w:bCs/>
          <w:spacing w:val="1"/>
          <w:sz w:val="24"/>
          <w:szCs w:val="24"/>
          <w:lang w:val="es-ES" w:eastAsia="es-ES"/>
        </w:rPr>
      </w:pPr>
      <w:r>
        <w:rPr>
          <w:rFonts w:ascii="Verdana" w:hAnsi="Verdana" w:cs="Verdana"/>
          <w:b/>
          <w:bCs/>
          <w:spacing w:val="1"/>
          <w:sz w:val="24"/>
          <w:szCs w:val="24"/>
          <w:lang w:val="es-ES" w:eastAsia="es-ES"/>
        </w:rPr>
        <w:t xml:space="preserve">RESOLUCION </w:t>
      </w:r>
      <w:bookmarkStart w:id="0" w:name="_GoBack"/>
      <w:r>
        <w:rPr>
          <w:rFonts w:ascii="Verdana" w:hAnsi="Verdana" w:cs="Verdana"/>
          <w:b/>
          <w:bCs/>
          <w:spacing w:val="1"/>
          <w:sz w:val="24"/>
          <w:szCs w:val="24"/>
          <w:lang w:val="es-ES" w:eastAsia="es-ES"/>
        </w:rPr>
        <w:t>TAT</w:t>
      </w:r>
      <w:r w:rsidR="00F44F1F">
        <w:rPr>
          <w:rFonts w:ascii="Verdana" w:hAnsi="Verdana" w:cs="Verdana"/>
          <w:b/>
          <w:bCs/>
          <w:spacing w:val="1"/>
          <w:sz w:val="24"/>
          <w:szCs w:val="24"/>
          <w:lang w:val="es-ES" w:eastAsia="es-ES"/>
        </w:rPr>
        <w:t>.</w:t>
      </w:r>
      <w:r>
        <w:rPr>
          <w:rFonts w:ascii="Verdana" w:hAnsi="Verdana" w:cs="Verdana"/>
          <w:b/>
          <w:bCs/>
          <w:spacing w:val="1"/>
          <w:sz w:val="24"/>
          <w:szCs w:val="24"/>
          <w:lang w:val="es-ES" w:eastAsia="es-ES"/>
        </w:rPr>
        <w:t xml:space="preserve"> 2524-2015</w:t>
      </w:r>
      <w:bookmarkEnd w:id="0"/>
    </w:p>
    <w:p w:rsidR="0042350F" w:rsidRDefault="00E078D2">
      <w:pPr>
        <w:kinsoku w:val="0"/>
        <w:overflowPunct w:val="0"/>
        <w:autoSpaceDE/>
        <w:autoSpaceDN/>
        <w:adjustRightInd/>
        <w:spacing w:before="589" w:line="294" w:lineRule="exact"/>
        <w:ind w:left="72" w:right="72"/>
        <w:jc w:val="both"/>
        <w:textAlignment w:val="baseline"/>
        <w:rPr>
          <w:rFonts w:ascii="Verdana" w:hAnsi="Verdana" w:cs="Verdana"/>
          <w:sz w:val="24"/>
          <w:szCs w:val="24"/>
          <w:lang w:val="es-ES" w:eastAsia="es-ES"/>
        </w:rPr>
      </w:pPr>
      <w:r>
        <w:rPr>
          <w:rFonts w:ascii="Verdana" w:hAnsi="Verdana" w:cs="Verdana"/>
          <w:b/>
          <w:bCs/>
          <w:sz w:val="24"/>
          <w:szCs w:val="24"/>
          <w:lang w:val="es-ES" w:eastAsia="es-ES"/>
        </w:rPr>
        <w:t xml:space="preserve">TRIBUNAL ADMINISTRATIVO DE TRANSPORTE. </w:t>
      </w:r>
      <w:r>
        <w:rPr>
          <w:rFonts w:ascii="Verdana" w:hAnsi="Verdana" w:cs="Verdana"/>
          <w:sz w:val="24"/>
          <w:szCs w:val="24"/>
          <w:lang w:val="es-ES" w:eastAsia="es-ES"/>
        </w:rPr>
        <w:t>San José, a las once h</w:t>
      </w:r>
      <w:r w:rsidR="000101F7">
        <w:rPr>
          <w:rFonts w:ascii="Verdana" w:hAnsi="Verdana" w:cs="Verdana"/>
          <w:sz w:val="24"/>
          <w:szCs w:val="24"/>
          <w:lang w:val="es-ES" w:eastAsia="es-ES"/>
        </w:rPr>
        <w:t>o</w:t>
      </w:r>
      <w:r>
        <w:rPr>
          <w:rFonts w:ascii="Verdana" w:hAnsi="Verdana" w:cs="Verdana"/>
          <w:sz w:val="24"/>
          <w:szCs w:val="24"/>
          <w:lang w:val="es-ES" w:eastAsia="es-ES"/>
        </w:rPr>
        <w:t>ras quince minutos del veintisiete de marzo de dos mil quince.</w:t>
      </w:r>
    </w:p>
    <w:p w:rsidR="0042350F" w:rsidRDefault="00E078D2">
      <w:pPr>
        <w:kinsoku w:val="0"/>
        <w:overflowPunct w:val="0"/>
        <w:autoSpaceDE/>
        <w:autoSpaceDN/>
        <w:adjustRightInd/>
        <w:spacing w:before="302" w:line="295" w:lineRule="exact"/>
        <w:ind w:left="72" w:right="72"/>
        <w:jc w:val="both"/>
        <w:textAlignment w:val="baseline"/>
        <w:rPr>
          <w:rFonts w:ascii="Verdana" w:hAnsi="Verdana" w:cs="Verdana"/>
          <w:b/>
          <w:bCs/>
          <w:spacing w:val="4"/>
          <w:sz w:val="24"/>
          <w:szCs w:val="24"/>
          <w:lang w:val="es-ES" w:eastAsia="es-ES"/>
        </w:rPr>
      </w:pPr>
      <w:r w:rsidRPr="000101F7">
        <w:rPr>
          <w:rFonts w:ascii="Verdana" w:hAnsi="Verdana" w:cs="Verdana"/>
          <w:b/>
          <w:bCs/>
          <w:spacing w:val="4"/>
          <w:szCs w:val="16"/>
          <w:lang w:val="es-ES" w:eastAsia="es-ES"/>
        </w:rPr>
        <w:t xml:space="preserve">RECURSO DE APELACIÓN EN SUBSIDIO </w:t>
      </w:r>
      <w:r>
        <w:rPr>
          <w:rFonts w:ascii="Verdana" w:hAnsi="Verdana" w:cs="Verdana"/>
          <w:b/>
          <w:bCs/>
          <w:spacing w:val="4"/>
          <w:sz w:val="16"/>
          <w:szCs w:val="16"/>
          <w:lang w:val="es-ES" w:eastAsia="es-ES"/>
        </w:rPr>
        <w:t xml:space="preserve">Y </w:t>
      </w:r>
      <w:r w:rsidRPr="000101F7">
        <w:rPr>
          <w:rFonts w:ascii="Verdana" w:hAnsi="Verdana" w:cs="Verdana"/>
          <w:b/>
          <w:bCs/>
          <w:spacing w:val="4"/>
          <w:szCs w:val="24"/>
          <w:lang w:val="es-ES" w:eastAsia="es-ES"/>
        </w:rPr>
        <w:t xml:space="preserve">NULIDAD </w:t>
      </w:r>
      <w:r w:rsidRPr="000101F7">
        <w:rPr>
          <w:rFonts w:ascii="Verdana" w:hAnsi="Verdana" w:cs="Verdana"/>
          <w:b/>
          <w:bCs/>
          <w:spacing w:val="4"/>
          <w:sz w:val="18"/>
          <w:szCs w:val="16"/>
          <w:lang w:val="es-ES" w:eastAsia="es-ES"/>
        </w:rPr>
        <w:t>CONCOMITANTE</w:t>
      </w:r>
      <w:r>
        <w:rPr>
          <w:rFonts w:ascii="Verdana" w:hAnsi="Verdana" w:cs="Verdana"/>
          <w:b/>
          <w:bCs/>
          <w:spacing w:val="4"/>
          <w:sz w:val="16"/>
          <w:szCs w:val="16"/>
          <w:lang w:val="es-ES" w:eastAsia="es-ES"/>
        </w:rPr>
        <w:t xml:space="preserve">, </w:t>
      </w:r>
      <w:r>
        <w:rPr>
          <w:rFonts w:ascii="Verdana" w:hAnsi="Verdana" w:cs="Verdana"/>
          <w:spacing w:val="4"/>
          <w:sz w:val="24"/>
          <w:szCs w:val="24"/>
          <w:lang w:val="es-ES" w:eastAsia="es-ES"/>
        </w:rPr>
        <w:t xml:space="preserve">interpuesto por La empresa </w:t>
      </w:r>
      <w:r>
        <w:rPr>
          <w:rFonts w:ascii="Verdana" w:hAnsi="Verdana" w:cs="Verdana"/>
          <w:b/>
          <w:bCs/>
          <w:spacing w:val="4"/>
          <w:sz w:val="24"/>
          <w:szCs w:val="24"/>
          <w:lang w:val="es-ES" w:eastAsia="es-ES"/>
        </w:rPr>
        <w:t>T</w:t>
      </w:r>
      <w:r w:rsidR="000101F7">
        <w:rPr>
          <w:rFonts w:ascii="Verdana" w:hAnsi="Verdana" w:cs="Verdana"/>
          <w:b/>
          <w:bCs/>
          <w:spacing w:val="4"/>
          <w:sz w:val="24"/>
          <w:szCs w:val="24"/>
          <w:lang w:val="es-ES" w:eastAsia="es-ES"/>
        </w:rPr>
        <w:t>.M.</w:t>
      </w:r>
      <w:r>
        <w:rPr>
          <w:rFonts w:ascii="Verdana" w:hAnsi="Verdana" w:cs="Verdana"/>
          <w:b/>
          <w:bCs/>
          <w:spacing w:val="4"/>
          <w:sz w:val="24"/>
          <w:szCs w:val="24"/>
          <w:lang w:val="es-ES" w:eastAsia="es-ES"/>
        </w:rPr>
        <w:t xml:space="preserve">S.A. </w:t>
      </w:r>
      <w:r>
        <w:rPr>
          <w:rFonts w:ascii="Verdana" w:hAnsi="Verdana" w:cs="Verdana"/>
          <w:spacing w:val="4"/>
          <w:sz w:val="24"/>
          <w:szCs w:val="24"/>
          <w:lang w:val="es-ES" w:eastAsia="es-ES"/>
        </w:rPr>
        <w:t xml:space="preserve">cédula jurídica número </w:t>
      </w:r>
      <w:r w:rsidR="000101F7">
        <w:rPr>
          <w:rFonts w:ascii="Verdana" w:hAnsi="Verdana" w:cs="Verdana"/>
          <w:spacing w:val="4"/>
          <w:sz w:val="24"/>
          <w:szCs w:val="24"/>
          <w:lang w:val="es-ES" w:eastAsia="es-ES"/>
        </w:rPr>
        <w:t>…</w:t>
      </w:r>
      <w:r>
        <w:rPr>
          <w:rFonts w:ascii="Verdana" w:hAnsi="Verdana" w:cs="Verdana"/>
          <w:spacing w:val="4"/>
          <w:sz w:val="24"/>
          <w:szCs w:val="24"/>
          <w:lang w:val="es-ES" w:eastAsia="es-ES"/>
        </w:rPr>
        <w:t xml:space="preserve"> por medio de su Apoderado Generalísimo sin límite de suma, el señor </w:t>
      </w:r>
      <w:r>
        <w:rPr>
          <w:rFonts w:ascii="Verdana" w:hAnsi="Verdana" w:cs="Verdana"/>
          <w:b/>
          <w:bCs/>
          <w:spacing w:val="4"/>
          <w:sz w:val="24"/>
          <w:szCs w:val="24"/>
          <w:lang w:val="es-ES" w:eastAsia="es-ES"/>
        </w:rPr>
        <w:t>H</w:t>
      </w:r>
      <w:r w:rsidR="000101F7">
        <w:rPr>
          <w:rFonts w:ascii="Verdana" w:hAnsi="Verdana" w:cs="Verdana"/>
          <w:b/>
          <w:bCs/>
          <w:spacing w:val="4"/>
          <w:sz w:val="24"/>
          <w:szCs w:val="24"/>
          <w:lang w:val="es-ES" w:eastAsia="es-ES"/>
        </w:rPr>
        <w:t>.A.B.S.</w:t>
      </w:r>
      <w:r>
        <w:rPr>
          <w:rFonts w:ascii="Verdana" w:hAnsi="Verdana" w:cs="Verdana"/>
          <w:b/>
          <w:bCs/>
          <w:spacing w:val="4"/>
          <w:sz w:val="24"/>
          <w:szCs w:val="24"/>
          <w:lang w:val="es-ES" w:eastAsia="es-ES"/>
        </w:rPr>
        <w:t xml:space="preserve">, </w:t>
      </w:r>
      <w:r>
        <w:rPr>
          <w:rFonts w:ascii="Verdana" w:hAnsi="Verdana" w:cs="Verdana"/>
          <w:spacing w:val="4"/>
          <w:sz w:val="24"/>
          <w:szCs w:val="24"/>
          <w:lang w:val="es-ES" w:eastAsia="es-ES"/>
        </w:rPr>
        <w:t xml:space="preserve">cédula de identidad número 1-492-942, contra el </w:t>
      </w:r>
      <w:r>
        <w:rPr>
          <w:rFonts w:ascii="Verdana" w:hAnsi="Verdana" w:cs="Verdana"/>
          <w:b/>
          <w:bCs/>
          <w:spacing w:val="4"/>
          <w:sz w:val="24"/>
          <w:szCs w:val="24"/>
          <w:lang w:val="es-ES" w:eastAsia="es-ES"/>
        </w:rPr>
        <w:t xml:space="preserve">Artículo 7.38 de la Sesión Ordinaria 78-2013, </w:t>
      </w:r>
      <w:r>
        <w:rPr>
          <w:rFonts w:ascii="Verdana" w:hAnsi="Verdana" w:cs="Verdana"/>
          <w:spacing w:val="4"/>
          <w:sz w:val="24"/>
          <w:szCs w:val="24"/>
          <w:lang w:val="es-ES" w:eastAsia="es-ES"/>
        </w:rPr>
        <w:t xml:space="preserve">celebrada por la Junta Directiva del Consejo de Transporte Público, el 24 de octubre del 2013. El caso es tramitado en este Despacho bajo el </w:t>
      </w:r>
      <w:r>
        <w:rPr>
          <w:rFonts w:ascii="Verdana" w:hAnsi="Verdana" w:cs="Verdana"/>
          <w:b/>
          <w:bCs/>
          <w:spacing w:val="4"/>
          <w:sz w:val="24"/>
          <w:szCs w:val="24"/>
          <w:lang w:val="es-ES" w:eastAsia="es-ES"/>
        </w:rPr>
        <w:t>Expediente Administrativo No. TAT-005-15.</w:t>
      </w:r>
    </w:p>
    <w:p w:rsidR="0042350F" w:rsidRDefault="00E078D2">
      <w:pPr>
        <w:kinsoku w:val="0"/>
        <w:overflowPunct w:val="0"/>
        <w:autoSpaceDE/>
        <w:autoSpaceDN/>
        <w:adjustRightInd/>
        <w:spacing w:before="296" w:line="281" w:lineRule="exact"/>
        <w:ind w:left="72"/>
        <w:jc w:val="center"/>
        <w:textAlignment w:val="baseline"/>
        <w:rPr>
          <w:rFonts w:ascii="Verdana" w:hAnsi="Verdana" w:cs="Verdana"/>
          <w:b/>
          <w:bCs/>
          <w:spacing w:val="-2"/>
          <w:sz w:val="24"/>
          <w:szCs w:val="24"/>
          <w:lang w:val="es-ES" w:eastAsia="es-ES"/>
        </w:rPr>
      </w:pPr>
      <w:r>
        <w:rPr>
          <w:rFonts w:ascii="Verdana" w:hAnsi="Verdana" w:cs="Verdana"/>
          <w:b/>
          <w:bCs/>
          <w:spacing w:val="-2"/>
          <w:sz w:val="24"/>
          <w:szCs w:val="24"/>
          <w:lang w:val="es-ES" w:eastAsia="es-ES"/>
        </w:rPr>
        <w:t>RESULTANDO</w:t>
      </w:r>
    </w:p>
    <w:p w:rsidR="0042350F" w:rsidRDefault="00E078D2">
      <w:pPr>
        <w:kinsoku w:val="0"/>
        <w:overflowPunct w:val="0"/>
        <w:autoSpaceDE/>
        <w:autoSpaceDN/>
        <w:adjustRightInd/>
        <w:spacing w:before="317" w:line="294" w:lineRule="exact"/>
        <w:ind w:left="72" w:right="72"/>
        <w:jc w:val="both"/>
        <w:textAlignment w:val="baseline"/>
        <w:rPr>
          <w:rFonts w:ascii="Verdana" w:hAnsi="Verdana" w:cs="Verdana"/>
          <w:sz w:val="24"/>
          <w:szCs w:val="24"/>
          <w:lang w:val="es-ES" w:eastAsia="es-ES"/>
        </w:rPr>
      </w:pPr>
      <w:r>
        <w:rPr>
          <w:rFonts w:ascii="Verdana" w:hAnsi="Verdana" w:cs="Verdana"/>
          <w:b/>
          <w:bCs/>
          <w:sz w:val="24"/>
          <w:szCs w:val="24"/>
          <w:lang w:val="es-ES" w:eastAsia="es-ES"/>
        </w:rPr>
        <w:t xml:space="preserve">PRIMERO: </w:t>
      </w:r>
      <w:r>
        <w:rPr>
          <w:rFonts w:ascii="Verdana" w:hAnsi="Verdana" w:cs="Verdana"/>
          <w:sz w:val="24"/>
          <w:szCs w:val="24"/>
          <w:lang w:val="es-ES" w:eastAsia="es-ES"/>
        </w:rPr>
        <w:t>La Junta Directiva del Consejo de Transporte Público dispone mediante el acuerdo impugnado lo siguiente: (Léanse folios 158 al 168 del expediente administrativo)</w:t>
      </w:r>
    </w:p>
    <w:p w:rsidR="0042350F" w:rsidRDefault="00E078D2">
      <w:pPr>
        <w:kinsoku w:val="0"/>
        <w:overflowPunct w:val="0"/>
        <w:autoSpaceDE/>
        <w:autoSpaceDN/>
        <w:adjustRightInd/>
        <w:spacing w:before="296" w:line="194" w:lineRule="exact"/>
        <w:ind w:left="432"/>
        <w:textAlignment w:val="baseline"/>
        <w:rPr>
          <w:rFonts w:ascii="Verdana" w:hAnsi="Verdana" w:cs="Verdana"/>
          <w:b/>
          <w:bCs/>
          <w:sz w:val="16"/>
          <w:szCs w:val="16"/>
          <w:lang w:val="es-ES" w:eastAsia="es-ES"/>
        </w:rPr>
      </w:pPr>
      <w:r>
        <w:rPr>
          <w:rFonts w:ascii="Verdana" w:hAnsi="Verdana" w:cs="Verdana"/>
          <w:b/>
          <w:bCs/>
          <w:sz w:val="16"/>
          <w:szCs w:val="16"/>
          <w:lang w:val="es-ES" w:eastAsia="es-ES"/>
        </w:rPr>
        <w:t>"POR TANTO SE ACUERDA</w:t>
      </w:r>
    </w:p>
    <w:p w:rsidR="0042350F" w:rsidRDefault="00E078D2">
      <w:pPr>
        <w:kinsoku w:val="0"/>
        <w:overflowPunct w:val="0"/>
        <w:autoSpaceDE/>
        <w:autoSpaceDN/>
        <w:adjustRightInd/>
        <w:spacing w:line="192" w:lineRule="exact"/>
        <w:ind w:left="432"/>
        <w:textAlignment w:val="baseline"/>
        <w:rPr>
          <w:rFonts w:ascii="Verdana" w:hAnsi="Verdana" w:cs="Verdana"/>
          <w:b/>
          <w:bCs/>
          <w:spacing w:val="-2"/>
          <w:sz w:val="16"/>
          <w:szCs w:val="16"/>
          <w:lang w:val="es-ES" w:eastAsia="es-ES"/>
        </w:rPr>
      </w:pPr>
      <w:r>
        <w:rPr>
          <w:rFonts w:ascii="Verdana" w:hAnsi="Verdana" w:cs="Verdana"/>
          <w:b/>
          <w:bCs/>
          <w:spacing w:val="-2"/>
          <w:sz w:val="16"/>
          <w:szCs w:val="16"/>
          <w:lang w:val="es-ES" w:eastAsia="es-ES"/>
        </w:rPr>
        <w:t>EN FIRME</w:t>
      </w:r>
    </w:p>
    <w:p w:rsidR="0042350F" w:rsidRDefault="00E078D2">
      <w:pPr>
        <w:kinsoku w:val="0"/>
        <w:overflowPunct w:val="0"/>
        <w:autoSpaceDE/>
        <w:autoSpaceDN/>
        <w:adjustRightInd/>
        <w:spacing w:before="3" w:line="194" w:lineRule="exact"/>
        <w:ind w:left="432"/>
        <w:textAlignment w:val="baseline"/>
        <w:rPr>
          <w:rFonts w:ascii="Verdana" w:hAnsi="Verdana" w:cs="Verdana"/>
          <w:b/>
          <w:bCs/>
          <w:sz w:val="16"/>
          <w:szCs w:val="16"/>
          <w:lang w:val="es-ES" w:eastAsia="es-ES"/>
        </w:rPr>
      </w:pPr>
      <w:r>
        <w:rPr>
          <w:rFonts w:ascii="Verdana" w:hAnsi="Verdana" w:cs="Verdana"/>
          <w:b/>
          <w:bCs/>
          <w:sz w:val="16"/>
          <w:szCs w:val="16"/>
          <w:lang w:val="es-ES" w:eastAsia="es-ES"/>
        </w:rPr>
        <w:t>6 POSITIVOS-1 NEGATIVO</w:t>
      </w:r>
    </w:p>
    <w:p w:rsidR="0042350F" w:rsidRDefault="00E078D2">
      <w:pPr>
        <w:kinsoku w:val="0"/>
        <w:overflowPunct w:val="0"/>
        <w:autoSpaceDE/>
        <w:autoSpaceDN/>
        <w:adjustRightInd/>
        <w:spacing w:line="197"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 xml:space="preserve">Acoger las recomendaciones emitidas en el informe </w:t>
      </w:r>
      <w:r>
        <w:rPr>
          <w:rFonts w:ascii="Verdana" w:hAnsi="Verdana" w:cs="Verdana"/>
          <w:b/>
          <w:bCs/>
          <w:sz w:val="16"/>
          <w:szCs w:val="16"/>
          <w:lang w:val="es-ES" w:eastAsia="es-ES"/>
        </w:rPr>
        <w:t xml:space="preserve">DING 13-1737, </w:t>
      </w:r>
      <w:r>
        <w:rPr>
          <w:rFonts w:ascii="Verdana" w:hAnsi="Verdana" w:cs="Verdana"/>
          <w:sz w:val="16"/>
          <w:szCs w:val="16"/>
          <w:lang w:val="es-ES" w:eastAsia="es-ES"/>
        </w:rPr>
        <w:t>por ende:</w:t>
      </w:r>
    </w:p>
    <w:p w:rsidR="0042350F" w:rsidRDefault="00E078D2">
      <w:pPr>
        <w:numPr>
          <w:ilvl w:val="0"/>
          <w:numId w:val="1"/>
        </w:numPr>
        <w:kinsoku w:val="0"/>
        <w:overflowPunct w:val="0"/>
        <w:autoSpaceDE/>
        <w:autoSpaceDN/>
        <w:adjustRightInd/>
        <w:spacing w:before="589" w:line="198" w:lineRule="exact"/>
        <w:ind w:right="432"/>
        <w:jc w:val="both"/>
        <w:textAlignment w:val="baseline"/>
        <w:rPr>
          <w:rFonts w:ascii="Verdana" w:hAnsi="Verdana" w:cs="Verdana"/>
          <w:sz w:val="16"/>
          <w:szCs w:val="16"/>
          <w:lang w:val="es-ES" w:eastAsia="es-ES"/>
        </w:rPr>
      </w:pPr>
      <w:r>
        <w:rPr>
          <w:rFonts w:ascii="Verdana" w:hAnsi="Verdana" w:cs="Verdana"/>
          <w:sz w:val="16"/>
          <w:szCs w:val="16"/>
          <w:lang w:val="es-ES" w:eastAsia="es-ES"/>
        </w:rPr>
        <w:t>Mantener el sistema operativo autorizado para la ruta N° 140, específicamente en su ramal descrito como San Isidro de El General - Beneficio y viceversa, de acuerdo al artículo N° 3.4, de la sesión ordinaria 90-2008, de la Junta Directiva del Consejo de Transporte público, del 09 de diciembre de 2008.</w:t>
      </w:r>
    </w:p>
    <w:p w:rsidR="0042350F" w:rsidRDefault="00E078D2">
      <w:pPr>
        <w:numPr>
          <w:ilvl w:val="0"/>
          <w:numId w:val="1"/>
        </w:numPr>
        <w:kinsoku w:val="0"/>
        <w:overflowPunct w:val="0"/>
        <w:autoSpaceDE/>
        <w:autoSpaceDN/>
        <w:adjustRightInd/>
        <w:spacing w:before="392" w:after="1190" w:line="198" w:lineRule="exact"/>
        <w:ind w:right="432"/>
        <w:jc w:val="both"/>
        <w:textAlignment w:val="baseline"/>
        <w:rPr>
          <w:rFonts w:ascii="Verdana" w:hAnsi="Verdana" w:cs="Verdana"/>
          <w:sz w:val="16"/>
          <w:szCs w:val="16"/>
          <w:lang w:val="es-ES" w:eastAsia="es-ES"/>
        </w:rPr>
      </w:pPr>
      <w:r>
        <w:rPr>
          <w:rFonts w:ascii="Verdana" w:hAnsi="Verdana" w:cs="Verdana"/>
          <w:sz w:val="16"/>
          <w:szCs w:val="16"/>
          <w:lang w:val="es-ES" w:eastAsia="es-ES"/>
        </w:rPr>
        <w:t>Autorizar la modificación del recorrido de la Ruta N° 185, para de tal forma que los servicios que salen y llegan actualmente de la localidad de General Viejo, al llegar al cruce para la localidad de La Linda, se desvíen saliéndose de la carretera principal hacia la calle que va hasta la localidad de La Linda a 1.40 km de este punto, al llegar al costado sur de la plaza del mismo lugar, de vuelta y regrese por el mismo camino, hasta llegar nuevamente a la calle principal y siga su recorrido normal, como se indica en el croquis siguiente:</w:t>
      </w:r>
    </w:p>
    <w:p w:rsidR="0042350F" w:rsidRDefault="001D50D3">
      <w:pPr>
        <w:widowControl/>
        <w:rPr>
          <w:rFonts w:ascii="Calibri" w:hAnsi="Calibri" w:cs="Arial"/>
          <w:b/>
          <w:i/>
          <w:sz w:val="14"/>
          <w:szCs w:val="14"/>
        </w:rPr>
      </w:pPr>
      <w:r>
        <w:rPr>
          <w:rFonts w:ascii="Calibri" w:hAnsi="Calibri" w:cs="Arial"/>
          <w:b/>
          <w:i/>
          <w:noProof/>
          <w:sz w:val="14"/>
          <w:szCs w:val="14"/>
          <w:lang w:val="es-CR"/>
        </w:rPr>
        <w:lastRenderedPageBreak/>
        <w:drawing>
          <wp:inline distT="0" distB="0" distL="0" distR="0">
            <wp:extent cx="4994910" cy="2941320"/>
            <wp:effectExtent l="19050" t="0" r="0" b="0"/>
            <wp:docPr id="29" name="Imagen 29" descr="ruta 185 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ta 185 modi"/>
                    <pic:cNvPicPr>
                      <a:picLocks noChangeAspect="1" noChangeArrowheads="1"/>
                    </pic:cNvPicPr>
                  </pic:nvPicPr>
                  <pic:blipFill>
                    <a:blip r:embed="rId5"/>
                    <a:srcRect/>
                    <a:stretch>
                      <a:fillRect/>
                    </a:stretch>
                  </pic:blipFill>
                  <pic:spPr bwMode="auto">
                    <a:xfrm>
                      <a:off x="0" y="0"/>
                      <a:ext cx="4994910" cy="2941320"/>
                    </a:xfrm>
                    <a:prstGeom prst="rect">
                      <a:avLst/>
                    </a:prstGeom>
                    <a:noFill/>
                    <a:ln w="9525">
                      <a:noFill/>
                      <a:miter lim="800000"/>
                      <a:headEnd/>
                      <a:tailEnd/>
                    </a:ln>
                  </pic:spPr>
                </pic:pic>
              </a:graphicData>
            </a:graphic>
          </wp:inline>
        </w:drawing>
      </w:r>
    </w:p>
    <w:p w:rsidR="000101F7" w:rsidRDefault="000101F7">
      <w:pPr>
        <w:widowControl/>
        <w:rPr>
          <w:rFonts w:ascii="Calibri" w:hAnsi="Calibri" w:cs="Arial"/>
          <w:b/>
          <w:i/>
          <w:sz w:val="14"/>
          <w:szCs w:val="14"/>
        </w:rPr>
      </w:pPr>
    </w:p>
    <w:p w:rsidR="000101F7" w:rsidRDefault="000101F7">
      <w:pPr>
        <w:widowControl/>
        <w:rPr>
          <w:rFonts w:ascii="Calibri" w:hAnsi="Calibri" w:cs="Arial"/>
          <w:b/>
          <w:i/>
          <w:sz w:val="14"/>
          <w:szCs w:val="14"/>
        </w:rPr>
      </w:pPr>
    </w:p>
    <w:p w:rsidR="000101F7" w:rsidRDefault="000101F7">
      <w:pPr>
        <w:kinsoku w:val="0"/>
        <w:overflowPunct w:val="0"/>
        <w:autoSpaceDE/>
        <w:autoSpaceDN/>
        <w:adjustRightInd/>
        <w:spacing w:before="6" w:line="20" w:lineRule="exact"/>
        <w:ind w:left="384" w:right="18"/>
        <w:textAlignment w:val="baseline"/>
        <w:rPr>
          <w:sz w:val="24"/>
          <w:szCs w:val="24"/>
        </w:rPr>
      </w:pPr>
    </w:p>
    <w:p w:rsidR="000101F7" w:rsidRDefault="000101F7">
      <w:pPr>
        <w:kinsoku w:val="0"/>
        <w:overflowPunct w:val="0"/>
        <w:autoSpaceDE/>
        <w:autoSpaceDN/>
        <w:adjustRightInd/>
        <w:spacing w:before="6" w:line="20" w:lineRule="exact"/>
        <w:ind w:left="384" w:right="18"/>
        <w:textAlignment w:val="baseline"/>
        <w:rPr>
          <w:sz w:val="24"/>
          <w:szCs w:val="24"/>
        </w:rPr>
      </w:pPr>
    </w:p>
    <w:p w:rsidR="000101F7" w:rsidRDefault="000101F7">
      <w:pPr>
        <w:kinsoku w:val="0"/>
        <w:overflowPunct w:val="0"/>
        <w:autoSpaceDE/>
        <w:autoSpaceDN/>
        <w:adjustRightInd/>
        <w:spacing w:before="6" w:line="20" w:lineRule="exact"/>
        <w:ind w:left="384" w:right="18"/>
        <w:textAlignment w:val="baseline"/>
        <w:rPr>
          <w:sz w:val="24"/>
          <w:szCs w:val="24"/>
        </w:rPr>
      </w:pPr>
    </w:p>
    <w:p w:rsidR="0042350F" w:rsidRDefault="001D50D3">
      <w:pPr>
        <w:kinsoku w:val="0"/>
        <w:overflowPunct w:val="0"/>
        <w:autoSpaceDE/>
        <w:autoSpaceDN/>
        <w:adjustRightInd/>
        <w:spacing w:after="179" w:line="20" w:lineRule="exact"/>
        <w:ind w:left="384" w:right="18"/>
        <w:textAlignment w:val="baseline"/>
        <w:rPr>
          <w:sz w:val="24"/>
          <w:szCs w:val="24"/>
        </w:rPr>
      </w:pPr>
      <w:r>
        <w:rPr>
          <w:rFonts w:ascii="Calibri" w:hAnsi="Calibri"/>
          <w:b/>
          <w:i/>
          <w:noProof/>
          <w:color w:val="FF0000"/>
          <w:sz w:val="14"/>
          <w:szCs w:val="14"/>
          <w:lang w:val="es-CR"/>
        </w:rPr>
        <w:drawing>
          <wp:inline distT="0" distB="0" distL="0" distR="0">
            <wp:extent cx="4511675" cy="2605405"/>
            <wp:effectExtent l="19050" t="0" r="3175" b="0"/>
            <wp:docPr id="24" name="Imagen 24" descr="Rutas 140-13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tas 140-137-185"/>
                    <pic:cNvPicPr>
                      <a:picLocks noChangeAspect="1" noChangeArrowheads="1"/>
                    </pic:cNvPicPr>
                  </pic:nvPicPr>
                  <pic:blipFill>
                    <a:blip r:embed="rId6"/>
                    <a:srcRect/>
                    <a:stretch>
                      <a:fillRect/>
                    </a:stretch>
                  </pic:blipFill>
                  <pic:spPr bwMode="auto">
                    <a:xfrm>
                      <a:off x="0" y="0"/>
                      <a:ext cx="4511675" cy="2605405"/>
                    </a:xfrm>
                    <a:prstGeom prst="rect">
                      <a:avLst/>
                    </a:prstGeom>
                    <a:noFill/>
                    <a:ln w="9525">
                      <a:noFill/>
                      <a:miter lim="800000"/>
                      <a:headEnd/>
                      <a:tailEnd/>
                    </a:ln>
                  </pic:spPr>
                </pic:pic>
              </a:graphicData>
            </a:graphic>
          </wp:inline>
        </w:drawing>
      </w:r>
    </w:p>
    <w:p w:rsidR="0042350F" w:rsidRDefault="00E078D2">
      <w:pPr>
        <w:numPr>
          <w:ilvl w:val="0"/>
          <w:numId w:val="4"/>
        </w:numPr>
        <w:kinsoku w:val="0"/>
        <w:overflowPunct w:val="0"/>
        <w:autoSpaceDE/>
        <w:autoSpaceDN/>
        <w:adjustRightInd/>
        <w:spacing w:line="197" w:lineRule="exact"/>
        <w:ind w:right="504"/>
        <w:textAlignment w:val="baseline"/>
        <w:rPr>
          <w:rFonts w:ascii="Verdana" w:hAnsi="Verdana" w:cs="Verdana"/>
          <w:sz w:val="16"/>
          <w:szCs w:val="16"/>
          <w:lang w:val="es-ES" w:eastAsia="es-ES"/>
        </w:rPr>
      </w:pPr>
      <w:r>
        <w:rPr>
          <w:rFonts w:ascii="Verdana" w:hAnsi="Verdana" w:cs="Verdana"/>
          <w:sz w:val="16"/>
          <w:szCs w:val="16"/>
          <w:lang w:val="es-ES" w:eastAsia="es-ES"/>
        </w:rPr>
        <w:t>Cancelar los horarios autorizados para las Rutas N° 137 y 185 descritas por su orden como San Isidro - Los Chiles - Quizarrá y San Isidro - Miraflores y viceversa, según el Artículo N° 17 de la Sesión Ordinaria 2840 de la antigua Comisión Técnica de Transportes del 16 de agosto del 1993.</w:t>
      </w:r>
    </w:p>
    <w:p w:rsidR="0042350F" w:rsidRDefault="00E078D2">
      <w:pPr>
        <w:numPr>
          <w:ilvl w:val="0"/>
          <w:numId w:val="4"/>
        </w:numPr>
        <w:kinsoku w:val="0"/>
        <w:overflowPunct w:val="0"/>
        <w:autoSpaceDE/>
        <w:autoSpaceDN/>
        <w:adjustRightInd/>
        <w:spacing w:before="206" w:line="192" w:lineRule="exact"/>
        <w:ind w:right="504"/>
        <w:textAlignment w:val="baseline"/>
        <w:rPr>
          <w:rFonts w:ascii="Verdana" w:hAnsi="Verdana" w:cs="Verdana"/>
          <w:sz w:val="16"/>
          <w:szCs w:val="16"/>
          <w:lang w:val="es-ES" w:eastAsia="es-ES"/>
        </w:rPr>
      </w:pPr>
      <w:r>
        <w:rPr>
          <w:rFonts w:ascii="Verdana" w:hAnsi="Verdana" w:cs="Verdana"/>
          <w:sz w:val="16"/>
          <w:szCs w:val="16"/>
          <w:lang w:val="es-ES" w:eastAsia="es-ES"/>
        </w:rPr>
        <w:t xml:space="preserve">Autorizar el siguiente esquema operativo para las Rutas N° 137 y 185 descritas por su orden </w:t>
      </w:r>
      <w:r>
        <w:rPr>
          <w:rFonts w:ascii="Verdana" w:hAnsi="Verdana" w:cs="Verdana"/>
          <w:b/>
          <w:bCs/>
          <w:sz w:val="14"/>
          <w:szCs w:val="14"/>
          <w:lang w:val="es-ES" w:eastAsia="es-ES"/>
        </w:rPr>
        <w:t xml:space="preserve">como </w:t>
      </w:r>
      <w:r>
        <w:rPr>
          <w:rFonts w:ascii="Verdana" w:hAnsi="Verdana" w:cs="Verdana"/>
          <w:sz w:val="16"/>
          <w:szCs w:val="16"/>
          <w:lang w:val="es-ES" w:eastAsia="es-ES"/>
        </w:rPr>
        <w:t>San Isidro - Los Chiles - Quizarrá y San Isidro - Miraflores y viceversa.</w:t>
      </w:r>
    </w:p>
    <w:p w:rsidR="0042350F" w:rsidRDefault="00E078D2">
      <w:pPr>
        <w:kinsoku w:val="0"/>
        <w:overflowPunct w:val="0"/>
        <w:autoSpaceDE/>
        <w:autoSpaceDN/>
        <w:adjustRightInd/>
        <w:spacing w:before="196" w:line="192" w:lineRule="exact"/>
        <w:ind w:left="360"/>
        <w:textAlignment w:val="baseline"/>
        <w:rPr>
          <w:rFonts w:ascii="Verdana" w:hAnsi="Verdana" w:cs="Verdana"/>
          <w:sz w:val="16"/>
          <w:szCs w:val="16"/>
          <w:lang w:val="es-ES" w:eastAsia="es-ES"/>
        </w:rPr>
      </w:pPr>
      <w:r>
        <w:rPr>
          <w:rFonts w:ascii="Verdana" w:hAnsi="Verdana" w:cs="Verdana"/>
          <w:sz w:val="16"/>
          <w:szCs w:val="16"/>
          <w:lang w:val="es-ES" w:eastAsia="es-ES"/>
        </w:rPr>
        <w:t>Horario Ruta N° 137</w:t>
      </w:r>
    </w:p>
    <w:p w:rsidR="0042350F" w:rsidRDefault="00E078D2">
      <w:pPr>
        <w:kinsoku w:val="0"/>
        <w:overflowPunct w:val="0"/>
        <w:autoSpaceDE/>
        <w:autoSpaceDN/>
        <w:adjustRightInd/>
        <w:spacing w:before="2" w:line="195" w:lineRule="exact"/>
        <w:ind w:left="360"/>
        <w:textAlignment w:val="baseline"/>
        <w:rPr>
          <w:rFonts w:ascii="Verdana" w:hAnsi="Verdana" w:cs="Verdana"/>
          <w:sz w:val="16"/>
          <w:szCs w:val="16"/>
          <w:lang w:val="es-ES" w:eastAsia="es-ES"/>
        </w:rPr>
      </w:pPr>
      <w:r>
        <w:rPr>
          <w:rFonts w:ascii="Verdana" w:hAnsi="Verdana" w:cs="Verdana"/>
          <w:sz w:val="16"/>
          <w:szCs w:val="16"/>
          <w:lang w:val="es-ES" w:eastAsia="es-ES"/>
        </w:rPr>
        <w:t>San Isidro - Los Chiles - Quizarrá</w:t>
      </w:r>
    </w:p>
    <w:p w:rsidR="0042350F" w:rsidRDefault="00E078D2">
      <w:pPr>
        <w:kinsoku w:val="0"/>
        <w:overflowPunct w:val="0"/>
        <w:autoSpaceDE/>
        <w:autoSpaceDN/>
        <w:adjustRightInd/>
        <w:spacing w:line="183" w:lineRule="exact"/>
        <w:ind w:left="360"/>
        <w:textAlignment w:val="baseline"/>
        <w:rPr>
          <w:rFonts w:ascii="Verdana" w:hAnsi="Verdana" w:cs="Verdana"/>
          <w:spacing w:val="-1"/>
          <w:sz w:val="16"/>
          <w:szCs w:val="16"/>
          <w:lang w:val="es-ES" w:eastAsia="es-ES"/>
        </w:rPr>
      </w:pPr>
      <w:r>
        <w:rPr>
          <w:rFonts w:ascii="Verdana" w:hAnsi="Verdana" w:cs="Verdana"/>
          <w:spacing w:val="-1"/>
          <w:sz w:val="16"/>
          <w:szCs w:val="16"/>
          <w:lang w:val="es-ES" w:eastAsia="es-ES"/>
        </w:rPr>
        <w:t>Horario de</w:t>
      </w:r>
      <w:r w:rsidR="00C13310">
        <w:rPr>
          <w:rFonts w:ascii="Verdana" w:hAnsi="Verdana" w:cs="Verdana"/>
          <w:spacing w:val="-1"/>
          <w:sz w:val="16"/>
          <w:szCs w:val="16"/>
          <w:lang w:val="es-ES" w:eastAsia="es-ES"/>
        </w:rPr>
        <w:t xml:space="preserve"> Lunes a Domingo</w:t>
      </w:r>
    </w:p>
    <w:p w:rsidR="00C13310" w:rsidRDefault="00C13310">
      <w:pPr>
        <w:kinsoku w:val="0"/>
        <w:overflowPunct w:val="0"/>
        <w:autoSpaceDE/>
        <w:autoSpaceDN/>
        <w:adjustRightInd/>
        <w:spacing w:line="183" w:lineRule="exact"/>
        <w:ind w:left="360"/>
        <w:textAlignment w:val="baseline"/>
        <w:rPr>
          <w:rFonts w:ascii="Verdana" w:hAnsi="Verdana" w:cs="Verdana"/>
          <w:spacing w:val="-1"/>
          <w:sz w:val="16"/>
          <w:szCs w:val="16"/>
          <w:lang w:val="es-ES" w:eastAsia="es-ES"/>
        </w:rPr>
      </w:pPr>
    </w:p>
    <w:tbl>
      <w:tblPr>
        <w:tblW w:w="0" w:type="auto"/>
        <w:tblInd w:w="1315" w:type="dxa"/>
        <w:tblLayout w:type="fixed"/>
        <w:tblCellMar>
          <w:left w:w="0" w:type="dxa"/>
          <w:right w:w="0" w:type="dxa"/>
        </w:tblCellMar>
        <w:tblLook w:val="0000" w:firstRow="0" w:lastRow="0" w:firstColumn="0" w:lastColumn="0" w:noHBand="0" w:noVBand="0"/>
      </w:tblPr>
      <w:tblGrid>
        <w:gridCol w:w="3187"/>
        <w:gridCol w:w="3120"/>
      </w:tblGrid>
      <w:tr w:rsidR="0042350F">
        <w:trPr>
          <w:trHeight w:hRule="exact" w:val="245"/>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C13310" w:rsidP="00C13310">
            <w:pPr>
              <w:kinsoku w:val="0"/>
              <w:overflowPunct w:val="0"/>
              <w:autoSpaceDE/>
              <w:autoSpaceDN/>
              <w:adjustRightInd/>
              <w:spacing w:line="206" w:lineRule="exact"/>
              <w:ind w:left="432"/>
              <w:textAlignment w:val="baseline"/>
              <w:rPr>
                <w:rFonts w:ascii="Verdana" w:hAnsi="Verdana" w:cs="Verdana"/>
                <w:b/>
                <w:bCs/>
                <w:sz w:val="16"/>
                <w:szCs w:val="16"/>
                <w:lang w:val="es-ES" w:eastAsia="es-ES"/>
              </w:rPr>
            </w:pPr>
            <w:r>
              <w:rPr>
                <w:rFonts w:ascii="Verdana" w:hAnsi="Verdana" w:cs="Verdana"/>
                <w:b/>
                <w:bCs/>
                <w:sz w:val="16"/>
                <w:szCs w:val="16"/>
                <w:lang w:val="es-ES" w:eastAsia="es-ES"/>
              </w:rPr>
              <w:t>SAL DE SAN IS</w:t>
            </w:r>
            <w:r w:rsidR="00E078D2">
              <w:rPr>
                <w:rFonts w:ascii="Verdana" w:hAnsi="Verdana" w:cs="Verdana"/>
                <w:b/>
                <w:bCs/>
                <w:sz w:val="16"/>
                <w:szCs w:val="16"/>
                <w:lang w:val="es-ES" w:eastAsia="es-ES"/>
              </w:rPr>
              <w:t>IDRO</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before="43" w:line="192" w:lineRule="exact"/>
              <w:ind w:left="422"/>
              <w:textAlignment w:val="baseline"/>
              <w:rPr>
                <w:rFonts w:ascii="Verdana" w:hAnsi="Verdana" w:cs="Verdana"/>
                <w:b/>
                <w:bCs/>
                <w:sz w:val="16"/>
                <w:szCs w:val="16"/>
                <w:lang w:val="es-ES" w:eastAsia="es-ES"/>
              </w:rPr>
            </w:pPr>
            <w:r>
              <w:rPr>
                <w:rFonts w:ascii="Verdana" w:hAnsi="Verdana" w:cs="Verdana"/>
                <w:b/>
                <w:bCs/>
                <w:sz w:val="16"/>
                <w:szCs w:val="16"/>
                <w:lang w:val="es-ES" w:eastAsia="es-ES"/>
              </w:rPr>
              <w:t>SALE DE QUIZA</w:t>
            </w:r>
            <w:r>
              <w:rPr>
                <w:rFonts w:ascii="Arial" w:hAnsi="Arial" w:cs="Arial"/>
                <w:b/>
                <w:bCs/>
                <w:sz w:val="16"/>
                <w:szCs w:val="16"/>
                <w:vertAlign w:val="superscript"/>
                <w:lang w:val="es-ES" w:eastAsia="es-ES"/>
              </w:rPr>
              <w:t>I</w:t>
            </w:r>
            <w:r>
              <w:rPr>
                <w:rFonts w:ascii="Verdana" w:hAnsi="Verdana" w:cs="Verdana"/>
                <w:b/>
                <w:bCs/>
                <w:sz w:val="16"/>
                <w:szCs w:val="16"/>
                <w:lang w:val="es-ES" w:eastAsia="es-ES"/>
              </w:rPr>
              <w:t>RRAY</w:t>
            </w:r>
          </w:p>
        </w:tc>
      </w:tr>
      <w:tr w:rsidR="0042350F">
        <w:trPr>
          <w:trHeight w:hRule="exact" w:val="230"/>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5" w:line="192"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07:30</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3"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06:00</w:t>
            </w:r>
          </w:p>
        </w:tc>
      </w:tr>
      <w:tr w:rsidR="0042350F">
        <w:trPr>
          <w:trHeight w:hRule="exact" w:val="226"/>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7" w:line="192"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08:45**</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7"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06:50</w:t>
            </w:r>
          </w:p>
        </w:tc>
      </w:tr>
      <w:tr w:rsidR="0042350F">
        <w:trPr>
          <w:trHeight w:hRule="exact" w:val="225"/>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89"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11:00</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88"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09:00**</w:t>
            </w:r>
          </w:p>
        </w:tc>
      </w:tr>
      <w:tr w:rsidR="0042350F">
        <w:trPr>
          <w:trHeight w:hRule="exact" w:val="231"/>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1" w:line="192"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15:00</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2"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12:30</w:t>
            </w:r>
          </w:p>
        </w:tc>
      </w:tr>
      <w:tr w:rsidR="0042350F">
        <w:trPr>
          <w:trHeight w:hRule="exact" w:val="230"/>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90"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16:45</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89"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14:30**</w:t>
            </w:r>
          </w:p>
        </w:tc>
      </w:tr>
      <w:tr w:rsidR="0042350F">
        <w:trPr>
          <w:trHeight w:hRule="exact" w:val="240"/>
        </w:trPr>
        <w:tc>
          <w:tcPr>
            <w:tcW w:w="3187"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9" w:line="192" w:lineRule="exact"/>
              <w:ind w:left="432"/>
              <w:textAlignment w:val="baseline"/>
              <w:rPr>
                <w:rFonts w:ascii="Verdana" w:hAnsi="Verdana" w:cs="Verdana"/>
                <w:sz w:val="16"/>
                <w:szCs w:val="16"/>
                <w:lang w:val="es-ES" w:eastAsia="es-ES"/>
              </w:rPr>
            </w:pPr>
            <w:r>
              <w:rPr>
                <w:rFonts w:ascii="Verdana" w:hAnsi="Verdana" w:cs="Verdana"/>
                <w:sz w:val="16"/>
                <w:szCs w:val="16"/>
                <w:lang w:val="es-ES" w:eastAsia="es-ES"/>
              </w:rPr>
              <w:t>18:30</w:t>
            </w:r>
          </w:p>
        </w:tc>
        <w:tc>
          <w:tcPr>
            <w:tcW w:w="3120"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8"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17:30</w:t>
            </w:r>
          </w:p>
        </w:tc>
      </w:tr>
    </w:tbl>
    <w:p w:rsidR="0042350F" w:rsidRDefault="0042350F">
      <w:pPr>
        <w:kinsoku w:val="0"/>
        <w:overflowPunct w:val="0"/>
        <w:autoSpaceDE/>
        <w:autoSpaceDN/>
        <w:adjustRightInd/>
        <w:spacing w:after="376" w:line="20" w:lineRule="exact"/>
        <w:ind w:left="1301" w:right="1492"/>
        <w:textAlignment w:val="baseline"/>
        <w:rPr>
          <w:sz w:val="24"/>
          <w:szCs w:val="24"/>
        </w:rPr>
      </w:pPr>
    </w:p>
    <w:p w:rsidR="0042350F" w:rsidRDefault="00E078D2">
      <w:pPr>
        <w:kinsoku w:val="0"/>
        <w:overflowPunct w:val="0"/>
        <w:autoSpaceDE/>
        <w:autoSpaceDN/>
        <w:adjustRightInd/>
        <w:spacing w:line="190" w:lineRule="exact"/>
        <w:ind w:left="360"/>
        <w:textAlignment w:val="baseline"/>
        <w:rPr>
          <w:rFonts w:ascii="Verdana" w:hAnsi="Verdana" w:cs="Verdana"/>
          <w:sz w:val="16"/>
          <w:szCs w:val="16"/>
          <w:lang w:val="es-ES" w:eastAsia="es-ES"/>
        </w:rPr>
      </w:pPr>
      <w:r>
        <w:rPr>
          <w:rFonts w:ascii="Verdana" w:hAnsi="Verdana" w:cs="Verdana"/>
          <w:sz w:val="16"/>
          <w:szCs w:val="16"/>
          <w:lang w:val="es-ES" w:eastAsia="es-ES"/>
        </w:rPr>
        <w:t>Horario Ruta N° 185</w:t>
      </w:r>
    </w:p>
    <w:p w:rsidR="0042350F" w:rsidRDefault="00E078D2">
      <w:pPr>
        <w:kinsoku w:val="0"/>
        <w:overflowPunct w:val="0"/>
        <w:autoSpaceDE/>
        <w:autoSpaceDN/>
        <w:adjustRightInd/>
        <w:spacing w:before="3" w:line="194" w:lineRule="exact"/>
        <w:ind w:left="360"/>
        <w:textAlignment w:val="baseline"/>
        <w:rPr>
          <w:rFonts w:ascii="Verdana" w:hAnsi="Verdana" w:cs="Verdana"/>
          <w:b/>
          <w:bCs/>
          <w:spacing w:val="-5"/>
          <w:sz w:val="16"/>
          <w:szCs w:val="16"/>
          <w:lang w:val="es-ES" w:eastAsia="es-ES"/>
        </w:rPr>
      </w:pPr>
      <w:r>
        <w:rPr>
          <w:rFonts w:ascii="Verdana" w:hAnsi="Verdana" w:cs="Verdana"/>
          <w:spacing w:val="-5"/>
          <w:sz w:val="16"/>
          <w:szCs w:val="16"/>
          <w:lang w:val="es-ES" w:eastAsia="es-ES"/>
        </w:rPr>
        <w:t xml:space="preserve">SAN ISIDRO - </w:t>
      </w:r>
      <w:r>
        <w:rPr>
          <w:rFonts w:ascii="Verdana" w:hAnsi="Verdana" w:cs="Verdana"/>
          <w:b/>
          <w:bCs/>
          <w:spacing w:val="-5"/>
          <w:sz w:val="16"/>
          <w:szCs w:val="16"/>
          <w:lang w:val="es-ES" w:eastAsia="es-ES"/>
        </w:rPr>
        <w:t>MIRAFLORES</w:t>
      </w:r>
    </w:p>
    <w:p w:rsidR="0042350F" w:rsidRDefault="00E078D2">
      <w:pPr>
        <w:kinsoku w:val="0"/>
        <w:overflowPunct w:val="0"/>
        <w:autoSpaceDE/>
        <w:autoSpaceDN/>
        <w:adjustRightInd/>
        <w:spacing w:line="172" w:lineRule="exact"/>
        <w:ind w:left="360"/>
        <w:textAlignment w:val="baseline"/>
        <w:rPr>
          <w:rFonts w:ascii="Verdana" w:hAnsi="Verdana" w:cs="Verdana"/>
          <w:b/>
          <w:bCs/>
          <w:spacing w:val="-3"/>
          <w:sz w:val="16"/>
          <w:szCs w:val="16"/>
          <w:lang w:val="es-ES" w:eastAsia="es-ES"/>
        </w:rPr>
      </w:pPr>
      <w:r>
        <w:rPr>
          <w:rFonts w:ascii="Verdana" w:hAnsi="Verdana" w:cs="Verdana"/>
          <w:spacing w:val="-3"/>
          <w:sz w:val="16"/>
          <w:szCs w:val="16"/>
          <w:lang w:val="es-ES" w:eastAsia="es-ES"/>
        </w:rPr>
        <w:t xml:space="preserve">Horario de Lunes a </w:t>
      </w:r>
      <w:r>
        <w:rPr>
          <w:rFonts w:ascii="Verdana" w:hAnsi="Verdana" w:cs="Verdana"/>
          <w:b/>
          <w:bCs/>
          <w:spacing w:val="-3"/>
          <w:sz w:val="16"/>
          <w:szCs w:val="16"/>
          <w:lang w:val="es-ES" w:eastAsia="es-ES"/>
        </w:rPr>
        <w:t>Domingo</w:t>
      </w:r>
    </w:p>
    <w:tbl>
      <w:tblPr>
        <w:tblW w:w="0" w:type="auto"/>
        <w:tblInd w:w="1272" w:type="dxa"/>
        <w:tblLayout w:type="fixed"/>
        <w:tblCellMar>
          <w:left w:w="0" w:type="dxa"/>
          <w:right w:w="0" w:type="dxa"/>
        </w:tblCellMar>
        <w:tblLook w:val="0000" w:firstRow="0" w:lastRow="0" w:firstColumn="0" w:lastColumn="0" w:noHBand="0" w:noVBand="0"/>
      </w:tblPr>
      <w:tblGrid>
        <w:gridCol w:w="3038"/>
        <w:gridCol w:w="3346"/>
      </w:tblGrid>
      <w:tr w:rsidR="0042350F">
        <w:trPr>
          <w:trHeight w:hRule="exact" w:val="250"/>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before="34" w:after="4" w:line="211" w:lineRule="exact"/>
              <w:ind w:left="436"/>
              <w:textAlignment w:val="baseline"/>
              <w:rPr>
                <w:rFonts w:ascii="Verdana" w:hAnsi="Verdana" w:cs="Verdana"/>
                <w:b/>
                <w:bCs/>
                <w:sz w:val="16"/>
                <w:szCs w:val="16"/>
                <w:lang w:val="es-ES" w:eastAsia="es-ES"/>
              </w:rPr>
            </w:pPr>
            <w:r>
              <w:rPr>
                <w:rFonts w:ascii="Verdana" w:hAnsi="Verdana" w:cs="Verdana"/>
                <w:b/>
                <w:bCs/>
                <w:sz w:val="16"/>
                <w:szCs w:val="16"/>
                <w:lang w:val="es-ES" w:eastAsia="es-ES"/>
              </w:rPr>
              <w:t>SALEIDE'SÁWSIDRO</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before="43" w:line="206" w:lineRule="exact"/>
              <w:ind w:left="422"/>
              <w:textAlignment w:val="baseline"/>
              <w:rPr>
                <w:rFonts w:ascii="Garamond" w:hAnsi="Garamond" w:cs="Garamond"/>
                <w:b/>
                <w:bCs/>
                <w:sz w:val="17"/>
                <w:szCs w:val="17"/>
                <w:lang w:val="es-ES" w:eastAsia="es-ES"/>
              </w:rPr>
            </w:pPr>
            <w:r>
              <w:rPr>
                <w:rFonts w:ascii="Verdana" w:hAnsi="Verdana" w:cs="Verdana"/>
                <w:b/>
                <w:bCs/>
                <w:sz w:val="16"/>
                <w:szCs w:val="16"/>
                <w:lang w:val="es-ES" w:eastAsia="es-ES"/>
              </w:rPr>
              <w:t xml:space="preserve">SALE DE </w:t>
            </w:r>
            <w:r>
              <w:rPr>
                <w:rFonts w:ascii="Garamond" w:hAnsi="Garamond" w:cs="Garamond"/>
                <w:b/>
                <w:bCs/>
                <w:sz w:val="17"/>
                <w:szCs w:val="17"/>
                <w:lang w:val="es-ES" w:eastAsia="es-ES"/>
              </w:rPr>
              <w:t>MIIWORES'4</w:t>
            </w:r>
          </w:p>
        </w:tc>
      </w:tr>
      <w:tr w:rsidR="0042350F">
        <w:trPr>
          <w:trHeight w:hRule="exact" w:val="230"/>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1"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06:00</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4"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06:00*</w:t>
            </w:r>
          </w:p>
        </w:tc>
      </w:tr>
      <w:tr w:rsidR="0042350F">
        <w:trPr>
          <w:trHeight w:hRule="exact" w:val="230"/>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10:00</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07:00</w:t>
            </w:r>
          </w:p>
        </w:tc>
      </w:tr>
      <w:tr w:rsidR="0042350F">
        <w:trPr>
          <w:trHeight w:hRule="exact" w:val="231"/>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1"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12:00*</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3"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08:15</w:t>
            </w:r>
          </w:p>
        </w:tc>
      </w:tr>
      <w:tr w:rsidR="0042350F">
        <w:trPr>
          <w:trHeight w:hRule="exact" w:val="230"/>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87"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15:00</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line="188"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10:45</w:t>
            </w:r>
          </w:p>
        </w:tc>
      </w:tr>
      <w:tr w:rsidR="0042350F">
        <w:trPr>
          <w:trHeight w:hRule="exact" w:val="231"/>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2"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17:00*</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11"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12:45</w:t>
            </w:r>
          </w:p>
        </w:tc>
      </w:tr>
      <w:tr w:rsidR="0042350F">
        <w:trPr>
          <w:trHeight w:hRule="exact" w:val="225"/>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5"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19:15</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5"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16:00*</w:t>
            </w:r>
          </w:p>
        </w:tc>
      </w:tr>
      <w:tr w:rsidR="0042350F">
        <w:trPr>
          <w:trHeight w:hRule="exact" w:val="240"/>
        </w:trPr>
        <w:tc>
          <w:tcPr>
            <w:tcW w:w="3038"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33" w:line="192" w:lineRule="exact"/>
              <w:ind w:left="436"/>
              <w:textAlignment w:val="baseline"/>
              <w:rPr>
                <w:rFonts w:ascii="Verdana" w:hAnsi="Verdana" w:cs="Verdana"/>
                <w:sz w:val="16"/>
                <w:szCs w:val="16"/>
                <w:lang w:val="es-ES" w:eastAsia="es-ES"/>
              </w:rPr>
            </w:pPr>
            <w:r>
              <w:rPr>
                <w:rFonts w:ascii="Verdana" w:hAnsi="Verdana" w:cs="Verdana"/>
                <w:sz w:val="16"/>
                <w:szCs w:val="16"/>
                <w:lang w:val="es-ES" w:eastAsia="es-ES"/>
              </w:rPr>
              <w:t>--</w:t>
            </w:r>
          </w:p>
        </w:tc>
        <w:tc>
          <w:tcPr>
            <w:tcW w:w="3346" w:type="dxa"/>
            <w:tcBorders>
              <w:top w:val="single" w:sz="11" w:space="0" w:color="auto"/>
              <w:left w:val="single" w:sz="11" w:space="0" w:color="auto"/>
              <w:bottom w:val="single" w:sz="11" w:space="0" w:color="auto"/>
              <w:right w:val="single" w:sz="11" w:space="0" w:color="auto"/>
            </w:tcBorders>
            <w:vAlign w:val="center"/>
          </w:tcPr>
          <w:p w:rsidR="0042350F" w:rsidRDefault="00E078D2">
            <w:pPr>
              <w:kinsoku w:val="0"/>
              <w:overflowPunct w:val="0"/>
              <w:autoSpaceDE/>
              <w:autoSpaceDN/>
              <w:adjustRightInd/>
              <w:spacing w:after="23" w:line="192" w:lineRule="exact"/>
              <w:ind w:left="422"/>
              <w:textAlignment w:val="baseline"/>
              <w:rPr>
                <w:rFonts w:ascii="Verdana" w:hAnsi="Verdana" w:cs="Verdana"/>
                <w:sz w:val="16"/>
                <w:szCs w:val="16"/>
                <w:lang w:val="es-ES" w:eastAsia="es-ES"/>
              </w:rPr>
            </w:pPr>
            <w:r>
              <w:rPr>
                <w:rFonts w:ascii="Verdana" w:hAnsi="Verdana" w:cs="Verdana"/>
                <w:sz w:val="16"/>
                <w:szCs w:val="16"/>
                <w:lang w:val="es-ES" w:eastAsia="es-ES"/>
              </w:rPr>
              <w:t>17:00</w:t>
            </w:r>
          </w:p>
        </w:tc>
      </w:tr>
    </w:tbl>
    <w:p w:rsidR="0042350F" w:rsidRDefault="0042350F">
      <w:pPr>
        <w:kinsoku w:val="0"/>
        <w:overflowPunct w:val="0"/>
        <w:autoSpaceDE/>
        <w:autoSpaceDN/>
        <w:adjustRightInd/>
        <w:spacing w:after="9" w:line="20" w:lineRule="exact"/>
        <w:ind w:left="1258" w:right="1458"/>
        <w:textAlignment w:val="baseline"/>
        <w:rPr>
          <w:sz w:val="24"/>
          <w:szCs w:val="24"/>
        </w:rPr>
      </w:pPr>
    </w:p>
    <w:p w:rsidR="00C13310" w:rsidRDefault="00E078D2"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r>
        <w:rPr>
          <w:rFonts w:ascii="Verdana" w:hAnsi="Verdana" w:cs="Verdana"/>
          <w:sz w:val="16"/>
          <w:szCs w:val="16"/>
          <w:lang w:val="es-ES" w:eastAsia="es-ES"/>
        </w:rPr>
        <w:t>(*) General Viejo - Entra a La Linda</w:t>
      </w:r>
      <w:r w:rsidR="00C13310">
        <w:rPr>
          <w:rFonts w:ascii="Verdana" w:hAnsi="Verdana" w:cs="Verdana"/>
          <w:sz w:val="16"/>
          <w:szCs w:val="16"/>
          <w:lang w:val="es-ES" w:eastAsia="es-ES"/>
        </w:rPr>
        <w:t xml:space="preserve"> </w:t>
      </w: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Verdana" w:hAnsi="Verdana" w:cs="Verdana"/>
          <w:sz w:val="16"/>
          <w:szCs w:val="16"/>
          <w:lang w:val="es-ES" w:eastAsia="es-ES"/>
        </w:rPr>
      </w:pPr>
    </w:p>
    <w:p w:rsidR="00C13310" w:rsidRDefault="00E078D2" w:rsidP="00C13310">
      <w:pPr>
        <w:kinsoku w:val="0"/>
        <w:overflowPunct w:val="0"/>
        <w:autoSpaceDE/>
        <w:autoSpaceDN/>
        <w:adjustRightInd/>
        <w:spacing w:line="173" w:lineRule="exact"/>
        <w:ind w:left="1512"/>
        <w:textAlignment w:val="baseline"/>
        <w:rPr>
          <w:rFonts w:ascii="Tahoma" w:hAnsi="Tahoma" w:cs="Tahoma"/>
          <w:spacing w:val="9"/>
          <w:sz w:val="16"/>
          <w:szCs w:val="16"/>
          <w:lang w:val="es-ES" w:eastAsia="es-ES"/>
        </w:rPr>
      </w:pPr>
      <w:r>
        <w:rPr>
          <w:rFonts w:ascii="Tahoma" w:hAnsi="Tahoma" w:cs="Tahoma"/>
          <w:spacing w:val="9"/>
          <w:sz w:val="16"/>
          <w:szCs w:val="16"/>
          <w:lang w:val="es-ES" w:eastAsia="es-ES"/>
        </w:rPr>
        <w:t>(**) La Hermosa</w:t>
      </w:r>
    </w:p>
    <w:p w:rsidR="00C13310" w:rsidRDefault="00C13310" w:rsidP="00C13310">
      <w:pPr>
        <w:kinsoku w:val="0"/>
        <w:overflowPunct w:val="0"/>
        <w:autoSpaceDE/>
        <w:autoSpaceDN/>
        <w:adjustRightInd/>
        <w:spacing w:line="173" w:lineRule="exact"/>
        <w:ind w:left="1512"/>
        <w:textAlignment w:val="baseline"/>
        <w:rPr>
          <w:rFonts w:ascii="Tahoma" w:hAnsi="Tahoma" w:cs="Tahoma"/>
          <w:spacing w:val="9"/>
          <w:sz w:val="16"/>
          <w:szCs w:val="16"/>
          <w:lang w:val="es-ES" w:eastAsia="es-ES"/>
        </w:rPr>
      </w:pPr>
    </w:p>
    <w:p w:rsidR="00C13310" w:rsidRDefault="00C13310" w:rsidP="00C13310">
      <w:pPr>
        <w:kinsoku w:val="0"/>
        <w:overflowPunct w:val="0"/>
        <w:autoSpaceDE/>
        <w:autoSpaceDN/>
        <w:adjustRightInd/>
        <w:spacing w:line="173" w:lineRule="exact"/>
        <w:ind w:left="1512"/>
        <w:textAlignment w:val="baseline"/>
        <w:rPr>
          <w:rFonts w:ascii="Tahoma" w:hAnsi="Tahoma" w:cs="Tahoma"/>
          <w:spacing w:val="9"/>
          <w:sz w:val="16"/>
          <w:szCs w:val="16"/>
          <w:lang w:val="es-ES" w:eastAsia="es-ES"/>
        </w:rPr>
      </w:pPr>
    </w:p>
    <w:p w:rsidR="0042350F" w:rsidRDefault="00E078D2" w:rsidP="00C13310">
      <w:pPr>
        <w:kinsoku w:val="0"/>
        <w:overflowPunct w:val="0"/>
        <w:autoSpaceDE/>
        <w:autoSpaceDN/>
        <w:adjustRightInd/>
        <w:spacing w:line="173" w:lineRule="exact"/>
        <w:ind w:left="426" w:right="393" w:hanging="284"/>
        <w:jc w:val="both"/>
        <w:textAlignment w:val="baseline"/>
        <w:rPr>
          <w:rFonts w:ascii="Tahoma" w:hAnsi="Tahoma" w:cs="Tahoma"/>
          <w:spacing w:val="12"/>
          <w:sz w:val="16"/>
          <w:szCs w:val="16"/>
          <w:lang w:val="es-ES" w:eastAsia="es-ES"/>
        </w:rPr>
      </w:pPr>
      <w:r>
        <w:rPr>
          <w:rFonts w:ascii="Tahoma" w:hAnsi="Tahoma" w:cs="Tahoma"/>
          <w:b/>
          <w:bCs/>
          <w:spacing w:val="12"/>
          <w:sz w:val="16"/>
          <w:szCs w:val="16"/>
          <w:lang w:val="es-ES" w:eastAsia="es-ES"/>
        </w:rPr>
        <w:t xml:space="preserve">5) </w:t>
      </w:r>
      <w:r>
        <w:rPr>
          <w:rFonts w:ascii="Tahoma" w:hAnsi="Tahoma" w:cs="Tahoma"/>
          <w:spacing w:val="12"/>
          <w:sz w:val="16"/>
          <w:szCs w:val="16"/>
          <w:lang w:val="es-ES" w:eastAsia="es-ES"/>
        </w:rPr>
        <w:t>Modificar la flota óptima de la</w:t>
      </w:r>
      <w:r w:rsidR="00C13310">
        <w:rPr>
          <w:rFonts w:ascii="Tahoma" w:hAnsi="Tahoma" w:cs="Tahoma"/>
          <w:spacing w:val="12"/>
          <w:sz w:val="16"/>
          <w:szCs w:val="16"/>
          <w:lang w:val="es-ES" w:eastAsia="es-ES"/>
        </w:rPr>
        <w:t xml:space="preserve"> empresa liderada por el señor G.F.S.</w:t>
      </w:r>
      <w:r>
        <w:rPr>
          <w:rFonts w:ascii="Tahoma" w:hAnsi="Tahoma" w:cs="Tahoma"/>
          <w:spacing w:val="12"/>
          <w:sz w:val="16"/>
          <w:szCs w:val="16"/>
          <w:lang w:val="es-ES" w:eastAsia="es-ES"/>
        </w:rPr>
        <w:t>, operador de</w:t>
      </w:r>
      <w:r w:rsidR="00C13310">
        <w:rPr>
          <w:rFonts w:ascii="Tahoma" w:hAnsi="Tahoma" w:cs="Tahoma"/>
          <w:spacing w:val="12"/>
          <w:sz w:val="16"/>
          <w:szCs w:val="16"/>
          <w:lang w:val="es-ES" w:eastAsia="es-ES"/>
        </w:rPr>
        <w:t xml:space="preserve"> </w:t>
      </w:r>
      <w:r>
        <w:rPr>
          <w:rFonts w:ascii="Tahoma" w:hAnsi="Tahoma" w:cs="Tahoma"/>
          <w:spacing w:val="12"/>
          <w:sz w:val="16"/>
          <w:szCs w:val="16"/>
          <w:lang w:val="es-ES" w:eastAsia="es-ES"/>
        </w:rPr>
        <w:t>las Rutas N° 137 y 185 descritas por su orden como San Isidro - Los Chiles - Quizarrá y San Isidro</w:t>
      </w:r>
      <w:r w:rsidR="00C13310">
        <w:rPr>
          <w:rFonts w:ascii="Tahoma" w:hAnsi="Tahoma" w:cs="Tahoma"/>
          <w:spacing w:val="12"/>
          <w:sz w:val="16"/>
          <w:szCs w:val="16"/>
          <w:lang w:val="es-ES" w:eastAsia="es-ES"/>
        </w:rPr>
        <w:t xml:space="preserve"> </w:t>
      </w:r>
      <w:r>
        <w:rPr>
          <w:rFonts w:ascii="Tahoma" w:hAnsi="Tahoma" w:cs="Tahoma"/>
          <w:spacing w:val="12"/>
          <w:sz w:val="16"/>
          <w:szCs w:val="16"/>
          <w:lang w:val="es-ES" w:eastAsia="es-ES"/>
        </w:rPr>
        <w:t xml:space="preserve">Miraflores y viceversa, autorizada según el Artículo N° 5.3.33, de la Sesión Ordinaria 10-2012 de la Junta Directiva del Consejo de Transporte Público del 08 de marzo del 2012, la cual consta de 3 unidades modalidad autobús, aumentando dicha flota óptima en </w:t>
      </w:r>
      <w:r w:rsidR="00C13310">
        <w:rPr>
          <w:rFonts w:ascii="Tahoma" w:hAnsi="Tahoma" w:cs="Tahoma"/>
          <w:spacing w:val="12"/>
          <w:sz w:val="16"/>
          <w:szCs w:val="16"/>
          <w:lang w:val="es-ES" w:eastAsia="es-ES"/>
        </w:rPr>
        <w:t xml:space="preserve">1 </w:t>
      </w:r>
      <w:r>
        <w:rPr>
          <w:rFonts w:ascii="Tahoma" w:hAnsi="Tahoma" w:cs="Tahoma"/>
          <w:spacing w:val="12"/>
          <w:sz w:val="16"/>
          <w:szCs w:val="16"/>
          <w:lang w:val="es-ES" w:eastAsia="es-ES"/>
        </w:rPr>
        <w:t>unidad, para 4 unidades modalidad autobús.</w:t>
      </w:r>
    </w:p>
    <w:p w:rsidR="0042350F" w:rsidRDefault="00E078D2" w:rsidP="00C13310">
      <w:pPr>
        <w:kinsoku w:val="0"/>
        <w:overflowPunct w:val="0"/>
        <w:autoSpaceDE/>
        <w:autoSpaceDN/>
        <w:adjustRightInd/>
        <w:spacing w:before="196" w:line="198" w:lineRule="exact"/>
        <w:ind w:left="426" w:right="393" w:hanging="284"/>
        <w:jc w:val="both"/>
        <w:textAlignment w:val="baseline"/>
        <w:rPr>
          <w:rFonts w:ascii="Tahoma" w:hAnsi="Tahoma" w:cs="Tahoma"/>
          <w:spacing w:val="9"/>
          <w:sz w:val="16"/>
          <w:szCs w:val="16"/>
          <w:lang w:val="es-ES" w:eastAsia="es-ES"/>
        </w:rPr>
      </w:pPr>
      <w:r>
        <w:rPr>
          <w:rFonts w:ascii="Tahoma" w:hAnsi="Tahoma" w:cs="Tahoma"/>
          <w:b/>
          <w:bCs/>
          <w:spacing w:val="16"/>
          <w:sz w:val="16"/>
          <w:szCs w:val="16"/>
          <w:lang w:val="es-ES" w:eastAsia="es-ES"/>
        </w:rPr>
        <w:t xml:space="preserve">6) </w:t>
      </w:r>
      <w:r>
        <w:rPr>
          <w:rFonts w:ascii="Tahoma" w:hAnsi="Tahoma" w:cs="Tahoma"/>
          <w:spacing w:val="16"/>
          <w:sz w:val="16"/>
          <w:szCs w:val="16"/>
          <w:lang w:val="es-ES" w:eastAsia="es-ES"/>
        </w:rPr>
        <w:t>Indicarle al señor G</w:t>
      </w:r>
      <w:r w:rsidR="00C13310">
        <w:rPr>
          <w:rFonts w:ascii="Tahoma" w:hAnsi="Tahoma" w:cs="Tahoma"/>
          <w:spacing w:val="16"/>
          <w:sz w:val="16"/>
          <w:szCs w:val="16"/>
          <w:lang w:val="es-ES" w:eastAsia="es-ES"/>
        </w:rPr>
        <w:t>.F.S.</w:t>
      </w:r>
      <w:r>
        <w:rPr>
          <w:rFonts w:ascii="Tahoma" w:hAnsi="Tahoma" w:cs="Tahoma"/>
          <w:spacing w:val="16"/>
          <w:sz w:val="16"/>
          <w:szCs w:val="16"/>
          <w:lang w:val="es-ES" w:eastAsia="es-ES"/>
        </w:rPr>
        <w:t>, que debe implementar los cambios necesarios para</w:t>
      </w:r>
      <w:r w:rsidR="00C13310">
        <w:rPr>
          <w:rFonts w:ascii="Tahoma" w:hAnsi="Tahoma" w:cs="Tahoma"/>
          <w:spacing w:val="16"/>
          <w:sz w:val="16"/>
          <w:szCs w:val="16"/>
          <w:lang w:val="es-ES" w:eastAsia="es-ES"/>
        </w:rPr>
        <w:t xml:space="preserve"> </w:t>
      </w:r>
      <w:r>
        <w:rPr>
          <w:rFonts w:ascii="Tahoma" w:hAnsi="Tahoma" w:cs="Tahoma"/>
          <w:spacing w:val="10"/>
          <w:sz w:val="16"/>
          <w:szCs w:val="16"/>
          <w:lang w:val="es-ES" w:eastAsia="es-ES"/>
        </w:rPr>
        <w:t>cumplir con las disposiciones establecidas en el presente informe, en cuanto a los horarios y recorrido autorizados en las Rutas N° 137 y 185 descritas por su orden como San Isidro - Los Chiles</w:t>
      </w:r>
      <w:r w:rsidR="00C13310">
        <w:rPr>
          <w:rFonts w:ascii="Tahoma" w:hAnsi="Tahoma" w:cs="Tahoma"/>
          <w:spacing w:val="10"/>
          <w:sz w:val="16"/>
          <w:szCs w:val="16"/>
          <w:lang w:val="es-ES" w:eastAsia="es-ES"/>
        </w:rPr>
        <w:t xml:space="preserve"> </w:t>
      </w:r>
      <w:r>
        <w:rPr>
          <w:rFonts w:ascii="Tahoma" w:hAnsi="Tahoma" w:cs="Tahoma"/>
          <w:spacing w:val="9"/>
          <w:sz w:val="16"/>
          <w:szCs w:val="16"/>
          <w:lang w:val="es-ES" w:eastAsia="es-ES"/>
        </w:rPr>
        <w:t>Quizarrá y San Isidro - Miraflores y viceversa.</w:t>
      </w:r>
    </w:p>
    <w:p w:rsidR="0042350F" w:rsidRDefault="00E078D2">
      <w:pPr>
        <w:kinsoku w:val="0"/>
        <w:overflowPunct w:val="0"/>
        <w:autoSpaceDE/>
        <w:autoSpaceDN/>
        <w:adjustRightInd/>
        <w:spacing w:before="199" w:line="198" w:lineRule="exact"/>
        <w:ind w:left="432" w:right="432" w:hanging="288"/>
        <w:jc w:val="both"/>
        <w:textAlignment w:val="baseline"/>
        <w:rPr>
          <w:rFonts w:ascii="Tahoma" w:hAnsi="Tahoma" w:cs="Tahoma"/>
          <w:spacing w:val="11"/>
          <w:sz w:val="16"/>
          <w:szCs w:val="16"/>
          <w:lang w:val="es-ES" w:eastAsia="es-ES"/>
        </w:rPr>
      </w:pPr>
      <w:r>
        <w:rPr>
          <w:rFonts w:ascii="Tahoma" w:hAnsi="Tahoma" w:cs="Tahoma"/>
          <w:b/>
          <w:bCs/>
          <w:spacing w:val="11"/>
          <w:sz w:val="16"/>
          <w:szCs w:val="16"/>
          <w:lang w:val="es-ES" w:eastAsia="es-ES"/>
        </w:rPr>
        <w:t xml:space="preserve">7) </w:t>
      </w:r>
      <w:r>
        <w:rPr>
          <w:rFonts w:ascii="Tahoma" w:hAnsi="Tahoma" w:cs="Tahoma"/>
          <w:spacing w:val="11"/>
          <w:sz w:val="16"/>
          <w:szCs w:val="16"/>
          <w:lang w:val="es-ES" w:eastAsia="es-ES"/>
        </w:rPr>
        <w:t>Notificar a: señor G</w:t>
      </w:r>
      <w:r w:rsidR="00C13310">
        <w:rPr>
          <w:rFonts w:ascii="Tahoma" w:hAnsi="Tahoma" w:cs="Tahoma"/>
          <w:spacing w:val="11"/>
          <w:sz w:val="16"/>
          <w:szCs w:val="16"/>
          <w:lang w:val="es-ES" w:eastAsia="es-ES"/>
        </w:rPr>
        <w:t>.F.S.</w:t>
      </w:r>
      <w:r>
        <w:rPr>
          <w:rFonts w:ascii="Tahoma" w:hAnsi="Tahoma" w:cs="Tahoma"/>
          <w:spacing w:val="11"/>
          <w:sz w:val="16"/>
          <w:szCs w:val="16"/>
          <w:lang w:val="es-ES" w:eastAsia="es-ES"/>
        </w:rPr>
        <w:t xml:space="preserve"> ( Fax: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xml:space="preserve">,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xml:space="preserve">,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empresa A</w:t>
      </w:r>
      <w:r w:rsidR="00C13310">
        <w:rPr>
          <w:rFonts w:ascii="Tahoma" w:hAnsi="Tahoma" w:cs="Tahoma"/>
          <w:spacing w:val="11"/>
          <w:sz w:val="16"/>
          <w:szCs w:val="16"/>
          <w:lang w:val="es-ES" w:eastAsia="es-ES"/>
        </w:rPr>
        <w:t>.M</w:t>
      </w:r>
      <w:r>
        <w:rPr>
          <w:rFonts w:ascii="Tahoma" w:hAnsi="Tahoma" w:cs="Tahoma"/>
          <w:spacing w:val="11"/>
          <w:sz w:val="16"/>
          <w:szCs w:val="16"/>
          <w:lang w:val="es-ES" w:eastAsia="es-ES"/>
        </w:rPr>
        <w:t xml:space="preserve">S.A. (Fax: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xml:space="preserve">-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A</w:t>
      </w:r>
      <w:r w:rsidR="00C13310">
        <w:rPr>
          <w:rFonts w:ascii="Tahoma" w:hAnsi="Tahoma" w:cs="Tahoma"/>
          <w:spacing w:val="11"/>
          <w:sz w:val="16"/>
          <w:szCs w:val="16"/>
          <w:lang w:val="es-ES" w:eastAsia="es-ES"/>
        </w:rPr>
        <w:t>.D.D.L.C.</w:t>
      </w:r>
      <w:r>
        <w:rPr>
          <w:rFonts w:ascii="Tahoma" w:hAnsi="Tahoma" w:cs="Tahoma"/>
          <w:spacing w:val="11"/>
          <w:sz w:val="16"/>
          <w:szCs w:val="16"/>
          <w:lang w:val="es-ES" w:eastAsia="es-ES"/>
        </w:rPr>
        <w:t xml:space="preserve"> (Fax: </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w:t>
      </w:r>
      <w:r w:rsidR="00C13310">
        <w:rPr>
          <w:rFonts w:ascii="Tahoma" w:hAnsi="Tahoma" w:cs="Tahoma"/>
          <w:spacing w:val="11"/>
          <w:sz w:val="16"/>
          <w:szCs w:val="16"/>
          <w:lang w:val="es-ES" w:eastAsia="es-ES"/>
        </w:rPr>
        <w:t>XXXX</w:t>
      </w:r>
      <w:r>
        <w:rPr>
          <w:rFonts w:ascii="Tahoma" w:hAnsi="Tahoma" w:cs="Tahoma"/>
          <w:spacing w:val="11"/>
          <w:sz w:val="16"/>
          <w:szCs w:val="16"/>
          <w:lang w:val="es-ES" w:eastAsia="es-ES"/>
        </w:rPr>
        <w:t>), A</w:t>
      </w:r>
      <w:r w:rsidR="00C13310">
        <w:rPr>
          <w:rFonts w:ascii="Tahoma" w:hAnsi="Tahoma" w:cs="Tahoma"/>
          <w:spacing w:val="11"/>
          <w:sz w:val="16"/>
          <w:szCs w:val="16"/>
          <w:lang w:val="es-ES" w:eastAsia="es-ES"/>
        </w:rPr>
        <w:t>.D.D.I.D.L.L.</w:t>
      </w:r>
      <w:r>
        <w:rPr>
          <w:rFonts w:ascii="Tahoma" w:hAnsi="Tahoma" w:cs="Tahoma"/>
          <w:spacing w:val="11"/>
          <w:sz w:val="16"/>
          <w:szCs w:val="16"/>
          <w:lang w:val="es-ES" w:eastAsia="es-ES"/>
        </w:rPr>
        <w:t>S</w:t>
      </w:r>
      <w:r w:rsidR="00C13310">
        <w:rPr>
          <w:rFonts w:ascii="Tahoma" w:hAnsi="Tahoma" w:cs="Tahoma"/>
          <w:spacing w:val="11"/>
          <w:sz w:val="16"/>
          <w:szCs w:val="16"/>
          <w:lang w:val="es-ES" w:eastAsia="es-ES"/>
        </w:rPr>
        <w:t>.L.Y.S.B.</w:t>
      </w:r>
      <w:r>
        <w:rPr>
          <w:rFonts w:ascii="Tahoma" w:hAnsi="Tahoma" w:cs="Tahoma"/>
          <w:spacing w:val="11"/>
          <w:sz w:val="16"/>
          <w:szCs w:val="16"/>
          <w:lang w:val="es-ES" w:eastAsia="es-ES"/>
        </w:rPr>
        <w:t>P</w:t>
      </w:r>
      <w:r w:rsidR="00C13310">
        <w:rPr>
          <w:rFonts w:ascii="Tahoma" w:hAnsi="Tahoma" w:cs="Tahoma"/>
          <w:spacing w:val="11"/>
          <w:sz w:val="16"/>
          <w:szCs w:val="16"/>
          <w:lang w:val="es-ES" w:eastAsia="es-ES"/>
        </w:rPr>
        <w:t>.Z.</w:t>
      </w:r>
      <w:r>
        <w:rPr>
          <w:rFonts w:ascii="Tahoma" w:hAnsi="Tahoma" w:cs="Tahoma"/>
          <w:spacing w:val="11"/>
          <w:sz w:val="16"/>
          <w:szCs w:val="16"/>
          <w:lang w:val="es-ES" w:eastAsia="es-ES"/>
        </w:rPr>
        <w:t>, Tribunal Contencioso Administrativo, Dirección Ejecutiva, Dirección de Asuntos Jurídicos, Dirección Técnica, Departamento de Ingeniería, Departamento de Administración de Concesiones y permisos, Regional del CTP., de Pérez Zeledón, Dirección General de la Policía de Tránsito."</w:t>
      </w:r>
    </w:p>
    <w:p w:rsidR="0042350F" w:rsidRDefault="00E078D2">
      <w:pPr>
        <w:kinsoku w:val="0"/>
        <w:overflowPunct w:val="0"/>
        <w:autoSpaceDE/>
        <w:autoSpaceDN/>
        <w:adjustRightInd/>
        <w:spacing w:before="523" w:line="296" w:lineRule="exact"/>
        <w:ind w:left="144" w:right="72"/>
        <w:jc w:val="both"/>
        <w:textAlignment w:val="baseline"/>
        <w:rPr>
          <w:rFonts w:ascii="Tahoma" w:hAnsi="Tahoma" w:cs="Tahoma"/>
          <w:sz w:val="25"/>
          <w:szCs w:val="25"/>
          <w:lang w:val="es-ES" w:eastAsia="es-ES"/>
        </w:rPr>
      </w:pPr>
      <w:r>
        <w:rPr>
          <w:rFonts w:ascii="Tahoma" w:hAnsi="Tahoma" w:cs="Tahoma"/>
          <w:b/>
          <w:bCs/>
          <w:sz w:val="25"/>
          <w:szCs w:val="25"/>
          <w:lang w:val="es-ES" w:eastAsia="es-ES"/>
        </w:rPr>
        <w:t xml:space="preserve">SEGUNDO: </w:t>
      </w:r>
      <w:r>
        <w:rPr>
          <w:rFonts w:ascii="Tahoma" w:hAnsi="Tahoma" w:cs="Tahoma"/>
          <w:sz w:val="25"/>
          <w:szCs w:val="25"/>
          <w:lang w:val="es-ES" w:eastAsia="es-ES"/>
        </w:rPr>
        <w:t>La recurrente presenta Recurso de Apelación y Nulidad concomitante contra el acuerdo impugnado y manifiesto: (Léanse folios del 24 al 46 del expediente administrativo).</w:t>
      </w:r>
    </w:p>
    <w:p w:rsidR="0042350F" w:rsidRDefault="00E078D2">
      <w:pPr>
        <w:numPr>
          <w:ilvl w:val="0"/>
          <w:numId w:val="6"/>
        </w:numPr>
        <w:kinsoku w:val="0"/>
        <w:overflowPunct w:val="0"/>
        <w:autoSpaceDE/>
        <w:autoSpaceDN/>
        <w:adjustRightInd/>
        <w:spacing w:before="293" w:line="296" w:lineRule="exact"/>
        <w:ind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El acuerdo impugnado autoriza horarios a las rutas 137 y 185 por lo que se atenta contra sus intereses, ya que los operadores de dichas rutas están haciendo recorridos no autorizados pues modificaron unilateralmente su recorrido cambiando la salida y adentrándose en el recorrido de la ruta 140 en el tramo de los Chiles al INVU El Clavel.</w:t>
      </w:r>
    </w:p>
    <w:p w:rsidR="0042350F" w:rsidRDefault="00E078D2">
      <w:pPr>
        <w:numPr>
          <w:ilvl w:val="0"/>
          <w:numId w:val="6"/>
        </w:numPr>
        <w:kinsoku w:val="0"/>
        <w:overflowPunct w:val="0"/>
        <w:autoSpaceDE/>
        <w:autoSpaceDN/>
        <w:adjustRightInd/>
        <w:spacing w:before="287" w:line="296" w:lineRule="exact"/>
        <w:ind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t>El informe en el que se sustenta el acuerdo impugnado es contrario a las reglas de la ciencia y la Técnica, omite varios aspectos del cuadro fáctico que circunda la situación que se está dando. Dicho informe se da por lo ordenado por la Junta Directiva mediante acuerdo 6.5 de la Sesión Ordinaria 79-2012, con el fin de realizar un estudio integral y mejorar el servicio para las comunidades de Las Rosas, el INVU, El Clavel y Los Chiles, dentro de los cuales intervienen las rutas 140, 137 y 185.</w:t>
      </w:r>
    </w:p>
    <w:p w:rsidR="0042350F" w:rsidRDefault="00E078D2">
      <w:pPr>
        <w:numPr>
          <w:ilvl w:val="0"/>
          <w:numId w:val="6"/>
        </w:numPr>
        <w:kinsoku w:val="0"/>
        <w:overflowPunct w:val="0"/>
        <w:autoSpaceDE/>
        <w:autoSpaceDN/>
        <w:adjustRightInd/>
        <w:spacing w:before="300" w:line="296" w:lineRule="exact"/>
        <w:ind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t>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 permite evaluar otros puntos para lograr un estudio integral, tal como se ordena en el acuerdo por el cual se da el estudio. El muestreo se realizó los días 19 y 21 de marzo del 2013 existiendo una serie de inconsistencias en cuanto a la redacción, ya que se argumenta que se</w:t>
      </w:r>
    </w:p>
    <w:p w:rsidR="0042350F" w:rsidRDefault="0042350F">
      <w:pPr>
        <w:widowControl/>
        <w:rPr>
          <w:sz w:val="24"/>
          <w:szCs w:val="24"/>
        </w:rPr>
        <w:sectPr w:rsidR="0042350F">
          <w:pgSz w:w="12134" w:h="15840"/>
          <w:pgMar w:top="1400" w:right="1554" w:bottom="384" w:left="1540" w:header="720" w:footer="720" w:gutter="0"/>
          <w:cols w:space="720"/>
          <w:noEndnote/>
        </w:sectPr>
      </w:pPr>
    </w:p>
    <w:p w:rsidR="0042350F" w:rsidRDefault="00E078D2">
      <w:pPr>
        <w:kinsoku w:val="0"/>
        <w:overflowPunct w:val="0"/>
        <w:autoSpaceDE/>
        <w:autoSpaceDN/>
        <w:adjustRightInd/>
        <w:spacing w:before="22" w:line="296" w:lineRule="exact"/>
        <w:ind w:left="144"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lastRenderedPageBreak/>
        <w:t>realizó un monitoreo en todos los servicios brindados por las rutas 140,137 y 185 (censo), pero posteriormente se indica que se obtuvo una muestra de esos servicios entre las 6 horas y las 19 horas con un nivel de confianza del 95%, lo que deja ver un inadecuado conocimiento de la Estadística utilizada en el estudio.</w:t>
      </w:r>
    </w:p>
    <w:p w:rsidR="0042350F" w:rsidRDefault="00E078D2">
      <w:pPr>
        <w:numPr>
          <w:ilvl w:val="0"/>
          <w:numId w:val="7"/>
        </w:numPr>
        <w:kinsoku w:val="0"/>
        <w:overflowPunct w:val="0"/>
        <w:autoSpaceDE/>
        <w:autoSpaceDN/>
        <w:adjustRightInd/>
        <w:spacing w:before="286" w:line="296" w:lineRule="exact"/>
        <w:ind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w:t>
      </w:r>
    </w:p>
    <w:p w:rsidR="0042350F" w:rsidRDefault="00E078D2">
      <w:pPr>
        <w:numPr>
          <w:ilvl w:val="0"/>
          <w:numId w:val="7"/>
        </w:numPr>
        <w:kinsoku w:val="0"/>
        <w:overflowPunct w:val="0"/>
        <w:autoSpaceDE/>
        <w:autoSpaceDN/>
        <w:adjustRightInd/>
        <w:spacing w:before="279" w:line="296" w:lineRule="exact"/>
        <w:ind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El estudio incrementa de manera inadecuada las carreras que realizan las rutas 137 y la 185, en contra dicho de lo aprobado por el CTP, lo que crea claramente competencia desleal en perjuicio de la ruta 140, a la cual pone en una condición de desventaja. Además considera sorprendente que se aprueben cambios en una ruta que invada de manera clara la zona de acción y operación de la recurrente por el simple hecho de utilizar zonas de vialidad mixta. Las rutas fueron determinadas a partir de una necesidad de servicio de las comunidades de Quizarrá y Miraflores, las cuales no fueron monitoreadas en dicho estudio, sino incorporando demandas no propias de dichas rutas, lo que evidencia un error de interpretación y un daño en el equilibrio financiero de la recurrente.</w:t>
      </w:r>
    </w:p>
    <w:p w:rsidR="0042350F" w:rsidRDefault="00E078D2">
      <w:pPr>
        <w:numPr>
          <w:ilvl w:val="0"/>
          <w:numId w:val="7"/>
        </w:numPr>
        <w:kinsoku w:val="0"/>
        <w:overflowPunct w:val="0"/>
        <w:autoSpaceDE/>
        <w:autoSpaceDN/>
        <w:adjustRightInd/>
        <w:spacing w:before="296" w:line="296" w:lineRule="exact"/>
        <w:ind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El sumar pasajeros de un área que no pertenece a la zona de exclusividad despoja el derecho a los usuarios de conocer la situación real en las rutas estudiadas. Queda claro del estudio que se hicieron estudio</w:t>
      </w:r>
      <w:r w:rsidR="00C13310">
        <w:rPr>
          <w:rFonts w:ascii="Tahoma" w:hAnsi="Tahoma" w:cs="Tahoma"/>
          <w:spacing w:val="10"/>
          <w:sz w:val="25"/>
          <w:szCs w:val="25"/>
          <w:lang w:val="es-ES" w:eastAsia="es-ES"/>
        </w:rPr>
        <w:t>s</w:t>
      </w:r>
      <w:r>
        <w:rPr>
          <w:rFonts w:ascii="Tahoma" w:hAnsi="Tahoma" w:cs="Tahoma"/>
          <w:spacing w:val="10"/>
          <w:sz w:val="25"/>
          <w:szCs w:val="25"/>
          <w:lang w:val="es-ES" w:eastAsia="es-ES"/>
        </w:rPr>
        <w:t xml:space="preserve"> en el corredor común en cuanto a la ruta 185 y 137 pero solo se puede hacer un estudio de demanda propia de cada ruta en aquellas zonas de exclusividad, pues si se bajan dentro del corredor común significa que no hay exclusividad.</w:t>
      </w:r>
    </w:p>
    <w:p w:rsidR="0042350F" w:rsidRDefault="00E078D2">
      <w:pPr>
        <w:numPr>
          <w:ilvl w:val="0"/>
          <w:numId w:val="7"/>
        </w:numPr>
        <w:kinsoku w:val="0"/>
        <w:overflowPunct w:val="0"/>
        <w:autoSpaceDE/>
        <w:autoSpaceDN/>
        <w:adjustRightInd/>
        <w:spacing w:before="298" w:line="296" w:lineRule="exact"/>
        <w:ind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Es clara la intención de favorecer a las rutas 137 y 185, de conformidad con el estudio realizado por lo que solicita se declare con lugar el recurso de revocatoria y se anule el acuerdo impugnado.</w:t>
      </w:r>
    </w:p>
    <w:p w:rsidR="0042350F" w:rsidRDefault="00E078D2">
      <w:pPr>
        <w:kinsoku w:val="0"/>
        <w:overflowPunct w:val="0"/>
        <w:autoSpaceDE/>
        <w:autoSpaceDN/>
        <w:adjustRightInd/>
        <w:spacing w:before="585" w:after="418" w:line="296" w:lineRule="exact"/>
        <w:ind w:left="144" w:right="72"/>
        <w:jc w:val="both"/>
        <w:textAlignment w:val="baseline"/>
        <w:rPr>
          <w:rFonts w:ascii="Tahoma" w:hAnsi="Tahoma" w:cs="Tahoma"/>
          <w:b/>
          <w:bCs/>
          <w:spacing w:val="4"/>
          <w:sz w:val="25"/>
          <w:szCs w:val="25"/>
          <w:lang w:val="es-ES" w:eastAsia="es-ES"/>
        </w:rPr>
      </w:pPr>
      <w:r>
        <w:rPr>
          <w:rFonts w:ascii="Tahoma" w:hAnsi="Tahoma" w:cs="Tahoma"/>
          <w:b/>
          <w:bCs/>
          <w:spacing w:val="4"/>
          <w:sz w:val="25"/>
          <w:szCs w:val="25"/>
          <w:lang w:val="es-ES" w:eastAsia="es-ES"/>
        </w:rPr>
        <w:t xml:space="preserve">TERCERO: </w:t>
      </w:r>
      <w:r>
        <w:rPr>
          <w:rFonts w:ascii="Tahoma" w:hAnsi="Tahoma" w:cs="Tahoma"/>
          <w:spacing w:val="4"/>
          <w:sz w:val="25"/>
          <w:szCs w:val="25"/>
          <w:lang w:val="es-ES" w:eastAsia="es-ES"/>
        </w:rPr>
        <w:t xml:space="preserve">La Junta Directiva del Consejo de Transporte Público MEDIANTE ACUERDO 7.2 DE LA SESIÓN ORDINARIA 03-2015 DEL 21 DE ENERO DE 2015, conoce y aprueba el informe </w:t>
      </w:r>
      <w:r>
        <w:rPr>
          <w:rFonts w:ascii="Tahoma" w:hAnsi="Tahoma" w:cs="Tahoma"/>
          <w:b/>
          <w:bCs/>
          <w:spacing w:val="4"/>
          <w:sz w:val="25"/>
          <w:szCs w:val="25"/>
          <w:lang w:val="es-ES" w:eastAsia="es-ES"/>
        </w:rPr>
        <w:t>DM-2015000084 del 12 de</w:t>
      </w:r>
    </w:p>
    <w:p w:rsidR="0042350F" w:rsidRDefault="0042350F">
      <w:pPr>
        <w:widowControl/>
        <w:rPr>
          <w:sz w:val="24"/>
          <w:szCs w:val="24"/>
        </w:rPr>
        <w:sectPr w:rsidR="0042350F">
          <w:pgSz w:w="12134" w:h="15840"/>
          <w:pgMar w:top="1400" w:right="1527" w:bottom="364" w:left="1567" w:header="720" w:footer="720" w:gutter="0"/>
          <w:cols w:space="720"/>
          <w:noEndnote/>
        </w:sectPr>
      </w:pPr>
    </w:p>
    <w:p w:rsidR="0042350F" w:rsidRDefault="0042350F">
      <w:pPr>
        <w:widowControl/>
        <w:rPr>
          <w:sz w:val="24"/>
          <w:szCs w:val="24"/>
        </w:rPr>
        <w:sectPr w:rsidR="0042350F">
          <w:type w:val="continuous"/>
          <w:pgSz w:w="12134" w:h="15840"/>
          <w:pgMar w:top="1400" w:right="1588" w:bottom="364" w:left="8386" w:header="720" w:footer="720" w:gutter="0"/>
          <w:cols w:space="720"/>
          <w:noEndnote/>
        </w:sectPr>
      </w:pPr>
    </w:p>
    <w:p w:rsidR="0042350F" w:rsidRDefault="00E078D2">
      <w:pPr>
        <w:kinsoku w:val="0"/>
        <w:overflowPunct w:val="0"/>
        <w:autoSpaceDE/>
        <w:autoSpaceDN/>
        <w:adjustRightInd/>
        <w:spacing w:before="14" w:line="295" w:lineRule="exact"/>
        <w:ind w:left="72" w:right="72"/>
        <w:jc w:val="both"/>
        <w:textAlignment w:val="baseline"/>
        <w:rPr>
          <w:rFonts w:ascii="Tahoma" w:hAnsi="Tahoma" w:cs="Tahoma"/>
          <w:spacing w:val="13"/>
          <w:sz w:val="25"/>
          <w:szCs w:val="25"/>
          <w:lang w:val="es-ES" w:eastAsia="es-ES"/>
        </w:rPr>
      </w:pPr>
      <w:r>
        <w:rPr>
          <w:rFonts w:ascii="Tahoma" w:hAnsi="Tahoma" w:cs="Tahoma"/>
          <w:b/>
          <w:bCs/>
          <w:spacing w:val="13"/>
          <w:sz w:val="25"/>
          <w:szCs w:val="25"/>
          <w:lang w:val="es-ES" w:eastAsia="es-ES"/>
        </w:rPr>
        <w:lastRenderedPageBreak/>
        <w:t xml:space="preserve">enero de 2015 </w:t>
      </w:r>
      <w:r>
        <w:rPr>
          <w:rFonts w:ascii="Tahoma" w:hAnsi="Tahoma" w:cs="Tahoma"/>
          <w:spacing w:val="13"/>
          <w:sz w:val="25"/>
          <w:szCs w:val="25"/>
          <w:lang w:val="es-ES" w:eastAsia="es-ES"/>
        </w:rPr>
        <w:t>de la Dirección de Asuntos Jurídicos y determina en su parte dispositiva rechazar el recurso de revocatoria y la nulidad presentada, ya que contrario a lo indicado por la recurrente el acto si se encuentra debidamente motivado, y esa motivación es el informe técnico del departamento de Ingeniería, además dicho estudio si se encuentra sustentado y fundamentado, por lo que el recurso es improcedente. (Léanse folios 1 y del 108 al 137 del expediente administrativo).</w:t>
      </w:r>
    </w:p>
    <w:p w:rsidR="0042350F" w:rsidRDefault="00E078D2">
      <w:pPr>
        <w:kinsoku w:val="0"/>
        <w:overflowPunct w:val="0"/>
        <w:autoSpaceDE/>
        <w:autoSpaceDN/>
        <w:adjustRightInd/>
        <w:spacing w:before="294" w:line="295" w:lineRule="exact"/>
        <w:ind w:left="72" w:right="72"/>
        <w:jc w:val="both"/>
        <w:textAlignment w:val="baseline"/>
        <w:rPr>
          <w:rFonts w:ascii="Tahoma" w:hAnsi="Tahoma" w:cs="Tahoma"/>
          <w:spacing w:val="12"/>
          <w:sz w:val="25"/>
          <w:szCs w:val="25"/>
          <w:lang w:val="es-ES" w:eastAsia="es-ES"/>
        </w:rPr>
      </w:pPr>
      <w:r>
        <w:rPr>
          <w:rFonts w:ascii="Tahoma" w:hAnsi="Tahoma" w:cs="Tahoma"/>
          <w:b/>
          <w:bCs/>
          <w:spacing w:val="12"/>
          <w:sz w:val="25"/>
          <w:szCs w:val="25"/>
          <w:lang w:val="es-ES" w:eastAsia="es-ES"/>
        </w:rPr>
        <w:t xml:space="preserve">CUARTO: </w:t>
      </w:r>
      <w:r>
        <w:rPr>
          <w:rFonts w:ascii="Tahoma" w:hAnsi="Tahoma" w:cs="Tahoma"/>
          <w:spacing w:val="12"/>
          <w:sz w:val="25"/>
          <w:szCs w:val="25"/>
          <w:lang w:val="es-ES" w:eastAsia="es-ES"/>
        </w:rPr>
        <w:t xml:space="preserve">Ante prevención de este Tribunal Administrativo de fecha 5 de de febrero de 2015, la empresa </w:t>
      </w:r>
      <w:r>
        <w:rPr>
          <w:rFonts w:ascii="Tahoma" w:hAnsi="Tahoma" w:cs="Tahoma"/>
          <w:b/>
          <w:bCs/>
          <w:spacing w:val="12"/>
          <w:sz w:val="25"/>
          <w:szCs w:val="25"/>
          <w:lang w:val="es-ES" w:eastAsia="es-ES"/>
        </w:rPr>
        <w:t>A</w:t>
      </w:r>
      <w:r w:rsidR="00C13310">
        <w:rPr>
          <w:rFonts w:ascii="Tahoma" w:hAnsi="Tahoma" w:cs="Tahoma"/>
          <w:b/>
          <w:bCs/>
          <w:spacing w:val="12"/>
          <w:sz w:val="25"/>
          <w:szCs w:val="25"/>
          <w:lang w:val="es-ES" w:eastAsia="es-ES"/>
        </w:rPr>
        <w:t>.M.</w:t>
      </w:r>
      <w:r>
        <w:rPr>
          <w:rFonts w:ascii="Tahoma" w:hAnsi="Tahoma" w:cs="Tahoma"/>
          <w:b/>
          <w:bCs/>
          <w:spacing w:val="12"/>
          <w:sz w:val="25"/>
          <w:szCs w:val="25"/>
          <w:lang w:val="es-ES" w:eastAsia="es-ES"/>
        </w:rPr>
        <w:t>S.A., por medio de su representante H</w:t>
      </w:r>
      <w:r w:rsidR="00C13310">
        <w:rPr>
          <w:rFonts w:ascii="Tahoma" w:hAnsi="Tahoma" w:cs="Tahoma"/>
          <w:b/>
          <w:bCs/>
          <w:spacing w:val="12"/>
          <w:sz w:val="25"/>
          <w:szCs w:val="25"/>
          <w:lang w:val="es-ES" w:eastAsia="es-ES"/>
        </w:rPr>
        <w:t>.B.S.</w:t>
      </w:r>
      <w:r>
        <w:rPr>
          <w:rFonts w:ascii="Tahoma" w:hAnsi="Tahoma" w:cs="Tahoma"/>
          <w:b/>
          <w:bCs/>
          <w:spacing w:val="12"/>
          <w:sz w:val="25"/>
          <w:szCs w:val="25"/>
          <w:lang w:val="es-ES" w:eastAsia="es-ES"/>
        </w:rPr>
        <w:t xml:space="preserve">, </w:t>
      </w:r>
      <w:r>
        <w:rPr>
          <w:rFonts w:ascii="Tahoma" w:hAnsi="Tahoma" w:cs="Tahoma"/>
          <w:spacing w:val="12"/>
          <w:sz w:val="25"/>
          <w:szCs w:val="25"/>
          <w:lang w:val="es-ES" w:eastAsia="es-ES"/>
        </w:rPr>
        <w:t>se apersona a este despacho el 16 de febrero de los corrientes y manifiesta en resumen y en lo que interesa para el caso lo siguiente: ( Léanse folios del 76 al 100 del expediente administrativo)</w:t>
      </w:r>
    </w:p>
    <w:p w:rsidR="0042350F" w:rsidRDefault="00E078D2">
      <w:pPr>
        <w:numPr>
          <w:ilvl w:val="0"/>
          <w:numId w:val="8"/>
        </w:numPr>
        <w:kinsoku w:val="0"/>
        <w:overflowPunct w:val="0"/>
        <w:autoSpaceDE/>
        <w:autoSpaceDN/>
        <w:adjustRightInd/>
        <w:spacing w:before="304" w:line="295" w:lineRule="exact"/>
        <w:ind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t>Mediante acuerdo 6.5 adoptado por la Junta Directiva del CTP en la Sesión 79-2012 del 14 de noviembre de 2012 se ordena al departamento de Ingeniería del CTP realizar un estudio técnico integral sobre la demanda de servicio público de transporte remunerado de personas en la modalidad de autobuses de la zona de Las Rosas, INVU, El Clavel y Los Chiles y sobre la operación de las rutas 140, 137 y 185 con la finalidad de determinar a quién le corresponde la Atención de la demanda del servicio público en las localidades indicadas.</w:t>
      </w:r>
    </w:p>
    <w:p w:rsidR="0042350F" w:rsidRDefault="00E078D2">
      <w:pPr>
        <w:numPr>
          <w:ilvl w:val="0"/>
          <w:numId w:val="8"/>
        </w:numPr>
        <w:kinsoku w:val="0"/>
        <w:overflowPunct w:val="0"/>
        <w:autoSpaceDE/>
        <w:autoSpaceDN/>
        <w:adjustRightInd/>
        <w:spacing w:before="293" w:line="295" w:lineRule="exact"/>
        <w:ind w:right="72"/>
        <w:jc w:val="both"/>
        <w:textAlignment w:val="baseline"/>
        <w:rPr>
          <w:rFonts w:ascii="Tahoma" w:hAnsi="Tahoma" w:cs="Tahoma"/>
          <w:spacing w:val="13"/>
          <w:sz w:val="25"/>
          <w:szCs w:val="25"/>
          <w:lang w:val="es-ES" w:eastAsia="es-ES"/>
        </w:rPr>
      </w:pPr>
      <w:r>
        <w:rPr>
          <w:rFonts w:ascii="Tahoma" w:hAnsi="Tahoma" w:cs="Tahoma"/>
          <w:spacing w:val="13"/>
          <w:sz w:val="25"/>
          <w:szCs w:val="25"/>
          <w:lang w:val="es-ES" w:eastAsia="es-ES"/>
        </w:rPr>
        <w:t>Mediante informe DING-13-1737 del Departamento de Ingeniería y suscrito por el señor Ronny Barrantes Bolandi se indica el 6 de setiembre de 2013, que se rinde en cumplimiento de lo ordenado en acuerdo 6.5 de la Sesión Ordinaria 79-2012 del 14 de noviembre de 2012. Pero la realidad es que el informe descrito incumple más bien lo ordenado en el acuerdo referido ya que en lugar de realizar un estudio integral sobre la demanda de servicios en las localidades indicadas supra y la operación de las rutas referidas, para determinar a quién le corresponde la atención de las localidades Las Rosas, Invú, El clavel y Los Chiles, lo que se efectúa es un estudio técnico parcial y parcializado de los operadores de las rutas involucradas entre el corredor comprendido entre la localidad de los Chiles y el cruce del colegio pedagógico José Breideroff.</w:t>
      </w:r>
    </w:p>
    <w:p w:rsidR="0042350F" w:rsidRDefault="00E078D2">
      <w:pPr>
        <w:numPr>
          <w:ilvl w:val="0"/>
          <w:numId w:val="8"/>
        </w:numPr>
        <w:kinsoku w:val="0"/>
        <w:overflowPunct w:val="0"/>
        <w:autoSpaceDE/>
        <w:autoSpaceDN/>
        <w:adjustRightInd/>
        <w:spacing w:before="303" w:after="710" w:line="295" w:lineRule="exact"/>
        <w:ind w:right="72"/>
        <w:jc w:val="both"/>
        <w:textAlignment w:val="baseline"/>
        <w:rPr>
          <w:rFonts w:ascii="Tahoma" w:hAnsi="Tahoma" w:cs="Tahoma"/>
          <w:spacing w:val="13"/>
          <w:sz w:val="25"/>
          <w:szCs w:val="25"/>
          <w:lang w:val="es-ES" w:eastAsia="es-ES"/>
        </w:rPr>
      </w:pPr>
      <w:r>
        <w:rPr>
          <w:rFonts w:ascii="Tahoma" w:hAnsi="Tahoma" w:cs="Tahoma"/>
          <w:spacing w:val="13"/>
          <w:sz w:val="25"/>
          <w:szCs w:val="25"/>
          <w:lang w:val="es-ES" w:eastAsia="es-ES"/>
        </w:rPr>
        <w:t>El estudio que culmina en el informe DING-13-1737 y que es el sustento del acto 7.38 de la Sesión Ordinaria 78-2013 de 24 de octubre de 2013 es contrario a la técnica y la ciencia y el acto referido carece de la debida motivación.</w:t>
      </w:r>
    </w:p>
    <w:p w:rsidR="0042350F" w:rsidRDefault="0042350F">
      <w:pPr>
        <w:widowControl/>
        <w:rPr>
          <w:sz w:val="24"/>
          <w:szCs w:val="24"/>
        </w:rPr>
        <w:sectPr w:rsidR="0042350F">
          <w:pgSz w:w="12134" w:h="15840"/>
          <w:pgMar w:top="1380" w:right="1528" w:bottom="404" w:left="1566" w:header="720" w:footer="720" w:gutter="0"/>
          <w:cols w:space="720"/>
          <w:noEndnote/>
        </w:sectPr>
      </w:pPr>
    </w:p>
    <w:p w:rsidR="0042350F" w:rsidRDefault="0042350F">
      <w:pPr>
        <w:widowControl/>
        <w:rPr>
          <w:sz w:val="24"/>
          <w:szCs w:val="24"/>
        </w:rPr>
        <w:sectPr w:rsidR="0042350F">
          <w:type w:val="continuous"/>
          <w:pgSz w:w="12134" w:h="15840"/>
          <w:pgMar w:top="1380" w:right="1607" w:bottom="404" w:left="8367" w:header="720" w:footer="720" w:gutter="0"/>
          <w:cols w:space="720"/>
          <w:noEndnote/>
        </w:sectPr>
      </w:pPr>
    </w:p>
    <w:p w:rsidR="0042350F" w:rsidRDefault="00E078D2">
      <w:pPr>
        <w:kinsoku w:val="0"/>
        <w:overflowPunct w:val="0"/>
        <w:autoSpaceDE/>
        <w:autoSpaceDN/>
        <w:adjustRightInd/>
        <w:spacing w:before="11" w:line="296" w:lineRule="exact"/>
        <w:ind w:left="72"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lastRenderedPageBreak/>
        <w:t>d)- El objeto del recurso que presenta es que se declare la nulidad tanto del informe como del acto referido supra ya que ambos son contrarios a la Legalidad y por adolecer ambos de vicios por falta de fundamentación existiendo una incongruencia evidente entre el motivo, contenido y el fin de ambos actos administrativos. Violentan también el principio de intangibilidad patrimonial y afectan el equilibrio financiero.</w:t>
      </w:r>
    </w:p>
    <w:p w:rsidR="0042350F" w:rsidRDefault="00E078D2">
      <w:pPr>
        <w:kinsoku w:val="0"/>
        <w:overflowPunct w:val="0"/>
        <w:autoSpaceDE/>
        <w:autoSpaceDN/>
        <w:adjustRightInd/>
        <w:spacing w:before="272" w:line="296" w:lineRule="exact"/>
        <w:ind w:left="72"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e)-Ambos actos, el acuerdo impugnado y el informe que lo sustenta son absolutamente nulos por carecer de los elementos materiales exigibles para que el acto administrativo sea válido y eficaz, ambos actos lesionan el principio de razonabilidad, por evidenciar una total incoherencia entre el motivo, contenido y el fin. Debían cumplir con lo ordenado en acuerdo 6.5 de la Sesión Ordinaria 79-2012, lo cual significaba realizar un estudio integral sobre la demanda del servicio público en la zona de Las Rosas, Invu, El Clavel y Los Chiles y sobre la operación de las rutas 140, 137 y 185, sin embargo se omite cumplir con estas disposiciones y lo que hace es un estudio parcial y parcializado de las operaciones de las rutas involucradas en el corredor comprendido entre la entrada de los Chiles en el cruce con la carretera nacional Número 2 y el cruce donde se encuentra el colegio Pedagógico José Breideroff en los Chiles de Pérez Zeledón, sin determinar a quién le corresponde la atención de la demanda del servicio público a las localidades de reiterada cita, por lo que el informe DING-13-1737 persiguió un fin distinto al que la Administración le indico constituyendo desviación de poder.</w:t>
      </w:r>
    </w:p>
    <w:p w:rsidR="0042350F" w:rsidRDefault="00E078D2">
      <w:pPr>
        <w:kinsoku w:val="0"/>
        <w:overflowPunct w:val="0"/>
        <w:autoSpaceDE/>
        <w:autoSpaceDN/>
        <w:adjustRightInd/>
        <w:spacing w:before="299" w:line="296" w:lineRule="exact"/>
        <w:ind w:left="72" w:right="72"/>
        <w:jc w:val="both"/>
        <w:textAlignment w:val="baseline"/>
        <w:rPr>
          <w:rFonts w:ascii="Tahoma" w:hAnsi="Tahoma" w:cs="Tahoma"/>
          <w:spacing w:val="13"/>
          <w:sz w:val="25"/>
          <w:szCs w:val="25"/>
          <w:lang w:val="es-ES" w:eastAsia="es-ES"/>
        </w:rPr>
      </w:pPr>
      <w:r>
        <w:rPr>
          <w:rFonts w:ascii="Tahoma" w:hAnsi="Tahoma" w:cs="Tahoma"/>
          <w:spacing w:val="13"/>
          <w:sz w:val="25"/>
          <w:szCs w:val="25"/>
          <w:lang w:val="es-ES" w:eastAsia="es-ES"/>
        </w:rPr>
        <w:t>f)- El informe en el que se sustenta el acuerdo impugnado es contrario a las reglas de la ciencia y la Técnica, omite varios aspectos del cuadro fáctico que circunda la situación que se está dando. Dicho informe se da por lo ordenado por la Junta Directiva mediante acuerdo 6.5 de la Sesión Ordinaria 79-2012, con el fin de realizar un estudio integral y mejorar el servicio para las comunidades de Las Rosas, el INVU, El Clavel y Los Chiles, dentro de los cuales intervienen las rutas 140, 137 y 185.</w:t>
      </w:r>
    </w:p>
    <w:p w:rsidR="0042350F" w:rsidRDefault="00E078D2">
      <w:pPr>
        <w:kinsoku w:val="0"/>
        <w:overflowPunct w:val="0"/>
        <w:autoSpaceDE/>
        <w:autoSpaceDN/>
        <w:adjustRightInd/>
        <w:spacing w:before="278" w:after="421" w:line="296" w:lineRule="exact"/>
        <w:ind w:left="72" w:right="72"/>
        <w:jc w:val="both"/>
        <w:textAlignment w:val="baseline"/>
        <w:rPr>
          <w:rFonts w:ascii="Tahoma" w:hAnsi="Tahoma" w:cs="Tahoma"/>
          <w:spacing w:val="13"/>
          <w:sz w:val="25"/>
          <w:szCs w:val="25"/>
          <w:lang w:val="es-ES" w:eastAsia="es-ES"/>
        </w:rPr>
      </w:pPr>
      <w:r>
        <w:rPr>
          <w:rFonts w:ascii="Tahoma" w:hAnsi="Tahoma" w:cs="Tahoma"/>
          <w:spacing w:val="13"/>
          <w:sz w:val="25"/>
          <w:szCs w:val="25"/>
          <w:lang w:val="es-ES" w:eastAsia="es-ES"/>
        </w:rPr>
        <w:t>g).- 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 permite evaluar otros puntos para lograr un estudio integral, tal como se ordena en el acuerdo por el cual se da el estudio. El muestreo se realizó los días 19 y 21 de marzo del 2013 existiendo una serie de inconsistencias en cuanto a la redacción, ya que se argumenta que se realizó un monitoreo en todos los servicios brindados por las rutas</w:t>
      </w:r>
    </w:p>
    <w:p w:rsidR="0042350F" w:rsidRDefault="0042350F">
      <w:pPr>
        <w:widowControl/>
        <w:rPr>
          <w:sz w:val="24"/>
          <w:szCs w:val="24"/>
        </w:rPr>
        <w:sectPr w:rsidR="0042350F">
          <w:pgSz w:w="12134" w:h="15840"/>
          <w:pgMar w:top="1400" w:right="1510" w:bottom="384" w:left="1584" w:header="720" w:footer="720" w:gutter="0"/>
          <w:cols w:space="720"/>
          <w:noEndnote/>
        </w:sectPr>
      </w:pPr>
    </w:p>
    <w:p w:rsidR="0042350F" w:rsidRDefault="0042350F">
      <w:pPr>
        <w:widowControl/>
        <w:rPr>
          <w:sz w:val="24"/>
          <w:szCs w:val="24"/>
        </w:rPr>
        <w:sectPr w:rsidR="0042350F">
          <w:type w:val="continuous"/>
          <w:pgSz w:w="12134" w:h="15840"/>
          <w:pgMar w:top="1400" w:right="1576" w:bottom="384" w:left="8398" w:header="720" w:footer="720" w:gutter="0"/>
          <w:cols w:space="720"/>
          <w:noEndnote/>
        </w:sectPr>
      </w:pPr>
    </w:p>
    <w:p w:rsidR="0042350F" w:rsidRDefault="00E078D2">
      <w:pPr>
        <w:kinsoku w:val="0"/>
        <w:overflowPunct w:val="0"/>
        <w:autoSpaceDE/>
        <w:autoSpaceDN/>
        <w:adjustRightInd/>
        <w:spacing w:before="4" w:line="296" w:lineRule="exact"/>
        <w:ind w:left="144" w:right="72"/>
        <w:jc w:val="both"/>
        <w:textAlignment w:val="baseline"/>
        <w:rPr>
          <w:rFonts w:ascii="Tahoma" w:hAnsi="Tahoma" w:cs="Tahoma"/>
          <w:sz w:val="25"/>
          <w:szCs w:val="25"/>
          <w:lang w:val="es-ES" w:eastAsia="es-ES"/>
        </w:rPr>
      </w:pPr>
      <w:r>
        <w:rPr>
          <w:rFonts w:ascii="Tahoma" w:hAnsi="Tahoma" w:cs="Tahoma"/>
          <w:sz w:val="25"/>
          <w:szCs w:val="25"/>
          <w:lang w:val="es-ES" w:eastAsia="es-ES"/>
        </w:rPr>
        <w:lastRenderedPageBreak/>
        <w:t>140,137 y 185 (censo), pero posteriormente se indica que se obtuvo una muestra de esos servicios entre las 6 horas y las 19 horas con un nivel de confianza del 95%, lo que deja ver un inadecuado conocimiento de la Estadística utilizada en el estudio.</w:t>
      </w:r>
    </w:p>
    <w:p w:rsidR="0042350F" w:rsidRDefault="00E078D2">
      <w:pPr>
        <w:numPr>
          <w:ilvl w:val="0"/>
          <w:numId w:val="9"/>
        </w:numPr>
        <w:kinsoku w:val="0"/>
        <w:overflowPunct w:val="0"/>
        <w:autoSpaceDE/>
        <w:autoSpaceDN/>
        <w:adjustRightInd/>
        <w:spacing w:before="290" w:line="296" w:lineRule="exact"/>
        <w:ind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w:t>
      </w:r>
    </w:p>
    <w:p w:rsidR="0042350F" w:rsidRDefault="00E078D2">
      <w:pPr>
        <w:numPr>
          <w:ilvl w:val="0"/>
          <w:numId w:val="9"/>
        </w:numPr>
        <w:kinsoku w:val="0"/>
        <w:overflowPunct w:val="0"/>
        <w:autoSpaceDE/>
        <w:autoSpaceDN/>
        <w:adjustRightInd/>
        <w:spacing w:before="294" w:line="296" w:lineRule="exact"/>
        <w:ind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El estudio incrementa de manera inadecuada las carreras que realizan las rutas 137 y la 185, en contra dicho de lo aprobado por el CTP, lo que crea claramente competencia desleal en perjuicio de la ruta 140, a la cual pone en una condición de desventaja. Además considera sorprendente que se aprueben cambios en una ruta que invada de manera clara la zona de acción y operación de la recurrente por el simple flecho de utilizar zonas de vialidad mixta. Las rutas fueron determinadas a partir de una necesidad de servicio de las comunidades de Quizarrá y Miraflores, las cuales no fueron monitoreadas en dicho estudio, sino incorporando demandas no propias de dichas rutas, lo que evidencia un error de interpretación y un daño en el equilibrio financiero de la recurrente.</w:t>
      </w:r>
    </w:p>
    <w:p w:rsidR="0042350F" w:rsidRDefault="00E078D2">
      <w:pPr>
        <w:numPr>
          <w:ilvl w:val="0"/>
          <w:numId w:val="10"/>
        </w:numPr>
        <w:kinsoku w:val="0"/>
        <w:overflowPunct w:val="0"/>
        <w:autoSpaceDE/>
        <w:autoSpaceDN/>
        <w:adjustRightInd/>
        <w:spacing w:before="293" w:line="296" w:lineRule="exact"/>
        <w:ind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El sumar pasajeros de un área que no pertenece a la zona de exclusividad despoja el derecho a los usuarios de conocer la situación real en las rutas estudiadas. Queda claro del estudio que se hicieron estudios en el corredor común en cuanto a la ruta 185 y 137 pero solo se puede hacer un estudio de demanda propia de cada ruta en aquellas zonas de exclusividad, pues si se bajan dentro del corredor común significa que no hay exclusividad.</w:t>
      </w:r>
    </w:p>
    <w:p w:rsidR="0042350F" w:rsidRDefault="00E078D2">
      <w:pPr>
        <w:numPr>
          <w:ilvl w:val="0"/>
          <w:numId w:val="9"/>
        </w:numPr>
        <w:kinsoku w:val="0"/>
        <w:overflowPunct w:val="0"/>
        <w:autoSpaceDE/>
        <w:autoSpaceDN/>
        <w:adjustRightInd/>
        <w:spacing w:before="278" w:line="296" w:lineRule="exact"/>
        <w:ind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Es clara la intención de favorecer a las rutas 137 y 185, de conformidad con el estudio realizado por lo que solicita se declare con lugar el recurso de revocatoria y se anule el acuerdo impugnado.</w:t>
      </w:r>
    </w:p>
    <w:p w:rsidR="0042350F" w:rsidRDefault="00E078D2">
      <w:pPr>
        <w:kinsoku w:val="0"/>
        <w:overflowPunct w:val="0"/>
        <w:autoSpaceDE/>
        <w:autoSpaceDN/>
        <w:adjustRightInd/>
        <w:spacing w:before="316" w:after="422" w:line="293" w:lineRule="exact"/>
        <w:ind w:left="144" w:right="72"/>
        <w:jc w:val="both"/>
        <w:textAlignment w:val="baseline"/>
        <w:rPr>
          <w:rFonts w:ascii="Verdana" w:hAnsi="Verdana" w:cs="Verdana"/>
          <w:i/>
          <w:iCs/>
          <w:sz w:val="24"/>
          <w:szCs w:val="24"/>
          <w:lang w:val="es-ES" w:eastAsia="es-ES"/>
        </w:rPr>
      </w:pPr>
      <w:r>
        <w:rPr>
          <w:rFonts w:ascii="Verdana" w:hAnsi="Verdana" w:cs="Verdana"/>
          <w:b/>
          <w:bCs/>
          <w:sz w:val="24"/>
          <w:szCs w:val="24"/>
          <w:lang w:val="es-ES" w:eastAsia="es-ES"/>
        </w:rPr>
        <w:t xml:space="preserve">QUINTO: </w:t>
      </w:r>
      <w:r>
        <w:rPr>
          <w:rFonts w:ascii="Tahoma" w:hAnsi="Tahoma" w:cs="Tahoma"/>
          <w:sz w:val="25"/>
          <w:szCs w:val="25"/>
          <w:lang w:val="es-ES" w:eastAsia="es-ES"/>
        </w:rPr>
        <w:t xml:space="preserve">Mediante acuerdo 6.5 de la Sesión Ordinaria 79-2012 del 14 de noviembre de 2012, la Junta Directiva del Consejo de Transporte Público determina, </w:t>
      </w:r>
      <w:r>
        <w:rPr>
          <w:rFonts w:ascii="Verdana" w:hAnsi="Verdana" w:cs="Verdana"/>
          <w:i/>
          <w:iCs/>
          <w:sz w:val="24"/>
          <w:szCs w:val="24"/>
          <w:lang w:val="es-ES" w:eastAsia="es-ES"/>
        </w:rPr>
        <w:t>denegar la solicitud planteada por la empresa A</w:t>
      </w:r>
      <w:r w:rsidR="00FA1496">
        <w:rPr>
          <w:rFonts w:ascii="Verdana" w:hAnsi="Verdana" w:cs="Verdana"/>
          <w:i/>
          <w:iCs/>
          <w:sz w:val="24"/>
          <w:szCs w:val="24"/>
          <w:lang w:val="es-ES" w:eastAsia="es-ES"/>
        </w:rPr>
        <w:t>.M.</w:t>
      </w:r>
      <w:r>
        <w:rPr>
          <w:rFonts w:ascii="Verdana" w:hAnsi="Verdana" w:cs="Verdana"/>
          <w:i/>
          <w:iCs/>
          <w:sz w:val="24"/>
          <w:szCs w:val="24"/>
          <w:lang w:val="es-ES" w:eastAsia="es-ES"/>
        </w:rPr>
        <w:t>S.A. para modificar el recorrido de la Ruta N° 140 y brindar servicio a las localidades de Invu, El clavel, Las Rosas y</w:t>
      </w:r>
    </w:p>
    <w:p w:rsidR="0042350F" w:rsidRDefault="0042350F">
      <w:pPr>
        <w:widowControl/>
        <w:rPr>
          <w:sz w:val="24"/>
          <w:szCs w:val="24"/>
        </w:rPr>
        <w:sectPr w:rsidR="0042350F">
          <w:pgSz w:w="12134" w:h="15840"/>
          <w:pgMar w:top="1420" w:right="1489" w:bottom="364" w:left="1605" w:header="720" w:footer="720" w:gutter="0"/>
          <w:cols w:space="720"/>
          <w:noEndnote/>
        </w:sectPr>
      </w:pPr>
    </w:p>
    <w:p w:rsidR="0042350F" w:rsidRDefault="0042350F">
      <w:pPr>
        <w:widowControl/>
        <w:rPr>
          <w:sz w:val="24"/>
          <w:szCs w:val="24"/>
        </w:rPr>
        <w:sectPr w:rsidR="0042350F">
          <w:type w:val="continuous"/>
          <w:pgSz w:w="12134" w:h="15840"/>
          <w:pgMar w:top="1420" w:right="1562" w:bottom="364" w:left="8412" w:header="720" w:footer="720" w:gutter="0"/>
          <w:cols w:space="720"/>
          <w:noEndnote/>
        </w:sectPr>
      </w:pPr>
    </w:p>
    <w:p w:rsidR="0042350F" w:rsidRDefault="00E078D2">
      <w:pPr>
        <w:kinsoku w:val="0"/>
        <w:overflowPunct w:val="0"/>
        <w:autoSpaceDE/>
        <w:autoSpaceDN/>
        <w:adjustRightInd/>
        <w:spacing w:before="28" w:line="295" w:lineRule="exact"/>
        <w:ind w:left="72" w:right="72"/>
        <w:jc w:val="both"/>
        <w:textAlignment w:val="baseline"/>
        <w:rPr>
          <w:rFonts w:ascii="Tahoma" w:hAnsi="Tahoma" w:cs="Tahoma"/>
          <w:spacing w:val="4"/>
          <w:sz w:val="24"/>
          <w:szCs w:val="24"/>
          <w:lang w:val="es-ES" w:eastAsia="es-ES"/>
        </w:rPr>
      </w:pPr>
      <w:r>
        <w:rPr>
          <w:rFonts w:ascii="Tahoma" w:hAnsi="Tahoma" w:cs="Tahoma"/>
          <w:i/>
          <w:iCs/>
          <w:spacing w:val="4"/>
          <w:sz w:val="27"/>
          <w:szCs w:val="27"/>
          <w:lang w:val="es-ES" w:eastAsia="es-ES"/>
        </w:rPr>
        <w:lastRenderedPageBreak/>
        <w:t>los Chiles, denegar la soli</w:t>
      </w:r>
      <w:r w:rsidR="00FA1496">
        <w:rPr>
          <w:rFonts w:ascii="Tahoma" w:hAnsi="Tahoma" w:cs="Tahoma"/>
          <w:i/>
          <w:iCs/>
          <w:spacing w:val="4"/>
          <w:sz w:val="27"/>
          <w:szCs w:val="27"/>
          <w:lang w:val="es-ES" w:eastAsia="es-ES"/>
        </w:rPr>
        <w:t>citud presentada por el señor G.F.S.</w:t>
      </w:r>
      <w:r>
        <w:rPr>
          <w:rFonts w:ascii="Tahoma" w:hAnsi="Tahoma" w:cs="Tahoma"/>
          <w:i/>
          <w:iCs/>
          <w:spacing w:val="4"/>
          <w:sz w:val="27"/>
          <w:szCs w:val="27"/>
          <w:lang w:val="es-ES" w:eastAsia="es-ES"/>
        </w:rPr>
        <w:t xml:space="preserve">, para brindar un servicio urbano entre San Isidro del General y los Chiles como parte de las rutas 137 y 185, Denegar la Solicitud del Comité de Desarrollo del Invu El Clavel, para autorizar un nuevo servicio desde San Isidro del General y el Invu El clavel, Otorgar al departamento de Ingeniería del Consejo un plazo de 30 días, para que remita a su conocimiento un estudio integral sobre la atención de demanda del servicio en las localidades de las Rosas, Invu El Clavel y los Chiles con relación a la operación de las rutas 140, 137 y 185.. </w:t>
      </w:r>
      <w:r>
        <w:rPr>
          <w:rFonts w:ascii="Tahoma" w:hAnsi="Tahoma" w:cs="Tahoma"/>
          <w:spacing w:val="4"/>
          <w:sz w:val="24"/>
          <w:szCs w:val="24"/>
          <w:lang w:val="es-ES" w:eastAsia="es-ES"/>
        </w:rPr>
        <w:t>(Léase folio del 139 al 143 del expediente administrativo).</w:t>
      </w:r>
    </w:p>
    <w:p w:rsidR="0042350F" w:rsidRDefault="00E078D2">
      <w:pPr>
        <w:kinsoku w:val="0"/>
        <w:overflowPunct w:val="0"/>
        <w:autoSpaceDE/>
        <w:autoSpaceDN/>
        <w:adjustRightInd/>
        <w:spacing w:before="295" w:line="296" w:lineRule="exact"/>
        <w:ind w:left="72" w:right="72"/>
        <w:jc w:val="both"/>
        <w:textAlignment w:val="baseline"/>
        <w:rPr>
          <w:rFonts w:ascii="Tahoma" w:hAnsi="Tahoma" w:cs="Tahoma"/>
          <w:spacing w:val="16"/>
          <w:sz w:val="24"/>
          <w:szCs w:val="24"/>
          <w:lang w:val="es-ES" w:eastAsia="es-ES"/>
        </w:rPr>
      </w:pPr>
      <w:r>
        <w:rPr>
          <w:rFonts w:ascii="Tahoma" w:hAnsi="Tahoma" w:cs="Tahoma"/>
          <w:b/>
          <w:bCs/>
          <w:spacing w:val="16"/>
          <w:sz w:val="24"/>
          <w:szCs w:val="24"/>
          <w:lang w:val="es-ES" w:eastAsia="es-ES"/>
        </w:rPr>
        <w:t xml:space="preserve">SEXTO: </w:t>
      </w:r>
      <w:r>
        <w:rPr>
          <w:rFonts w:ascii="Tahoma" w:hAnsi="Tahoma" w:cs="Tahoma"/>
          <w:spacing w:val="16"/>
          <w:sz w:val="24"/>
          <w:szCs w:val="24"/>
          <w:lang w:val="es-ES" w:eastAsia="es-ES"/>
        </w:rPr>
        <w:t>La Dirección de Asuntos Jurídicos del Consejo de Transporte Público con el fin de dar respuesta al Recurso de Revocatoria planteado por la Recurrente y siendo que sus argumentos versan sobre criterios técnicos del Departamento de Ingeniería del CTP, le solicita a esta oficina, mediante oficio 2013006470 de 12 de diciembre de 2013, que proceda a emitir un criterio técnico sobre los argumentos de la empresa recurrente, lo cual realiza el Departamento de Ingeniería mediante informe DING-2014-1757 de 8 de octubre de 2014, indicando que la recurrente no lleva razón en sus argumentos y que yerros que indilga al informe de la Dirección de Ingeniería que sustentó el acuerdo impugnado, no son técnicamente acertados y además vuelve a dar toda la justificación técnica del porque de la conclusión a la que se llegó. (Léanse folios 22 y del 48 al 65 del expediente administrativo)</w:t>
      </w:r>
    </w:p>
    <w:p w:rsidR="0042350F" w:rsidRDefault="00E078D2">
      <w:pPr>
        <w:kinsoku w:val="0"/>
        <w:overflowPunct w:val="0"/>
        <w:autoSpaceDE/>
        <w:autoSpaceDN/>
        <w:adjustRightInd/>
        <w:spacing w:before="812" w:line="302" w:lineRule="exact"/>
        <w:ind w:left="72" w:right="72"/>
        <w:jc w:val="both"/>
        <w:textAlignment w:val="baseline"/>
        <w:rPr>
          <w:rFonts w:ascii="Tahoma" w:hAnsi="Tahoma" w:cs="Tahoma"/>
          <w:spacing w:val="14"/>
          <w:sz w:val="24"/>
          <w:szCs w:val="24"/>
          <w:lang w:val="es-ES" w:eastAsia="es-ES"/>
        </w:rPr>
      </w:pPr>
      <w:r>
        <w:rPr>
          <w:rFonts w:ascii="Tahoma" w:hAnsi="Tahoma" w:cs="Tahoma"/>
          <w:b/>
          <w:bCs/>
          <w:spacing w:val="14"/>
          <w:sz w:val="24"/>
          <w:szCs w:val="24"/>
          <w:lang w:val="es-ES" w:eastAsia="es-ES"/>
        </w:rPr>
        <w:t xml:space="preserve">SETIMO: </w:t>
      </w:r>
      <w:r>
        <w:rPr>
          <w:rFonts w:ascii="Tahoma" w:hAnsi="Tahoma" w:cs="Tahoma"/>
          <w:spacing w:val="14"/>
          <w:sz w:val="24"/>
          <w:szCs w:val="24"/>
          <w:lang w:val="es-ES" w:eastAsia="es-ES"/>
        </w:rPr>
        <w:t>En los procedimientos seguidos se han observado las prescripciones legales.</w:t>
      </w:r>
    </w:p>
    <w:p w:rsidR="0042350F" w:rsidRDefault="00E078D2">
      <w:pPr>
        <w:kinsoku w:val="0"/>
        <w:overflowPunct w:val="0"/>
        <w:autoSpaceDE/>
        <w:autoSpaceDN/>
        <w:adjustRightInd/>
        <w:spacing w:before="586" w:line="296" w:lineRule="exact"/>
        <w:ind w:left="72" w:right="72"/>
        <w:textAlignment w:val="baseline"/>
        <w:rPr>
          <w:rFonts w:ascii="Tahoma" w:hAnsi="Tahoma" w:cs="Tahoma"/>
          <w:spacing w:val="16"/>
          <w:sz w:val="24"/>
          <w:szCs w:val="24"/>
          <w:lang w:val="es-ES" w:eastAsia="es-ES"/>
        </w:rPr>
      </w:pPr>
      <w:r>
        <w:rPr>
          <w:rFonts w:ascii="Tahoma" w:hAnsi="Tahoma" w:cs="Tahoma"/>
          <w:spacing w:val="16"/>
          <w:sz w:val="24"/>
          <w:szCs w:val="24"/>
          <w:lang w:val="es-ES" w:eastAsia="es-ES"/>
        </w:rPr>
        <w:t>Redacta la Jueza Pérez Peláez;</w:t>
      </w:r>
    </w:p>
    <w:p w:rsidR="0042350F" w:rsidRDefault="00E078D2">
      <w:pPr>
        <w:kinsoku w:val="0"/>
        <w:overflowPunct w:val="0"/>
        <w:autoSpaceDE/>
        <w:autoSpaceDN/>
        <w:adjustRightInd/>
        <w:spacing w:before="559" w:line="294" w:lineRule="exact"/>
        <w:ind w:left="72" w:right="72"/>
        <w:jc w:val="center"/>
        <w:textAlignment w:val="baseline"/>
        <w:rPr>
          <w:rFonts w:ascii="Tahoma" w:hAnsi="Tahoma" w:cs="Tahoma"/>
          <w:b/>
          <w:bCs/>
          <w:spacing w:val="15"/>
          <w:sz w:val="24"/>
          <w:szCs w:val="24"/>
          <w:lang w:val="es-ES" w:eastAsia="es-ES"/>
        </w:rPr>
      </w:pPr>
      <w:r>
        <w:rPr>
          <w:rFonts w:ascii="Tahoma" w:hAnsi="Tahoma" w:cs="Tahoma"/>
          <w:b/>
          <w:bCs/>
          <w:spacing w:val="15"/>
          <w:sz w:val="24"/>
          <w:szCs w:val="24"/>
          <w:lang w:val="es-ES" w:eastAsia="es-ES"/>
        </w:rPr>
        <w:t>CONSIDERANDO</w:t>
      </w:r>
    </w:p>
    <w:p w:rsidR="0042350F" w:rsidRDefault="00E078D2">
      <w:pPr>
        <w:numPr>
          <w:ilvl w:val="0"/>
          <w:numId w:val="11"/>
        </w:numPr>
        <w:kinsoku w:val="0"/>
        <w:overflowPunct w:val="0"/>
        <w:autoSpaceDE/>
        <w:autoSpaceDN/>
        <w:adjustRightInd/>
        <w:spacing w:before="293" w:line="296" w:lineRule="exact"/>
        <w:ind w:right="72"/>
        <w:jc w:val="both"/>
        <w:textAlignment w:val="baseline"/>
        <w:rPr>
          <w:rFonts w:ascii="Tahoma" w:hAnsi="Tahoma" w:cs="Tahoma"/>
          <w:spacing w:val="14"/>
          <w:sz w:val="24"/>
          <w:szCs w:val="24"/>
          <w:lang w:val="es-ES" w:eastAsia="es-ES"/>
        </w:rPr>
      </w:pPr>
      <w:r>
        <w:rPr>
          <w:rFonts w:ascii="Tahoma" w:hAnsi="Tahoma" w:cs="Tahoma"/>
          <w:b/>
          <w:bCs/>
          <w:spacing w:val="14"/>
          <w:sz w:val="24"/>
          <w:szCs w:val="24"/>
          <w:lang w:val="es-ES" w:eastAsia="es-ES"/>
        </w:rPr>
        <w:t xml:space="preserve">SOBRE LA COMPETENCIA: </w:t>
      </w:r>
      <w:r>
        <w:rPr>
          <w:rFonts w:ascii="Tahoma" w:hAnsi="Tahoma" w:cs="Tahoma"/>
          <w:spacing w:val="14"/>
          <w:sz w:val="24"/>
          <w:szCs w:val="24"/>
          <w:lang w:val="es-ES" w:eastAsia="es-ES"/>
        </w:rPr>
        <w:t>El TRIBUNAL ADMINISTRATIVO DE TRANSPORTE es el competente para conocer y resolver los RECURSOS DE APELACIÓN PRESENTADOS, De conformidad con el Artículo 22 de la Ley Reguladora del Servicio Público de Transporte Remunerado de Personas en Vehículos en la Modalidad de Taxi, N. 7969 del 22 de diciembre de 1999.</w:t>
      </w:r>
    </w:p>
    <w:p w:rsidR="0042350F" w:rsidRDefault="00E078D2">
      <w:pPr>
        <w:numPr>
          <w:ilvl w:val="0"/>
          <w:numId w:val="12"/>
        </w:numPr>
        <w:kinsoku w:val="0"/>
        <w:overflowPunct w:val="0"/>
        <w:autoSpaceDE/>
        <w:autoSpaceDN/>
        <w:adjustRightInd/>
        <w:spacing w:after="509" w:line="301" w:lineRule="exact"/>
        <w:ind w:right="72"/>
        <w:jc w:val="both"/>
        <w:textAlignment w:val="baseline"/>
        <w:rPr>
          <w:rFonts w:ascii="Tahoma" w:hAnsi="Tahoma" w:cs="Tahoma"/>
          <w:spacing w:val="18"/>
          <w:sz w:val="24"/>
          <w:szCs w:val="24"/>
          <w:lang w:val="es-ES" w:eastAsia="es-ES"/>
        </w:rPr>
      </w:pPr>
      <w:r>
        <w:rPr>
          <w:rFonts w:ascii="Tahoma" w:hAnsi="Tahoma" w:cs="Tahoma"/>
          <w:b/>
          <w:bCs/>
          <w:spacing w:val="18"/>
          <w:sz w:val="24"/>
          <w:szCs w:val="24"/>
          <w:lang w:val="es-ES" w:eastAsia="es-ES"/>
        </w:rPr>
        <w:t xml:space="preserve">SOBRE LA ADMISIBILIDAD DEL RECURSO </w:t>
      </w:r>
      <w:r>
        <w:rPr>
          <w:rFonts w:ascii="Tahoma" w:hAnsi="Tahoma" w:cs="Tahoma"/>
          <w:b/>
          <w:bCs/>
          <w:spacing w:val="18"/>
          <w:sz w:val="24"/>
          <w:szCs w:val="24"/>
          <w:u w:val="single"/>
          <w:lang w:val="es-ES" w:eastAsia="es-ES"/>
        </w:rPr>
        <w:t>Legitimación:</w:t>
      </w:r>
      <w:r>
        <w:rPr>
          <w:rFonts w:ascii="Tahoma" w:hAnsi="Tahoma" w:cs="Tahoma"/>
          <w:spacing w:val="18"/>
          <w:sz w:val="24"/>
          <w:szCs w:val="24"/>
          <w:lang w:val="es-ES" w:eastAsia="es-ES"/>
        </w:rPr>
        <w:t xml:space="preserve"> A La empres, </w:t>
      </w:r>
      <w:r>
        <w:rPr>
          <w:rFonts w:ascii="Tahoma" w:hAnsi="Tahoma" w:cs="Tahoma"/>
          <w:b/>
          <w:bCs/>
          <w:spacing w:val="18"/>
          <w:sz w:val="24"/>
          <w:szCs w:val="24"/>
          <w:lang w:val="es-ES" w:eastAsia="es-ES"/>
        </w:rPr>
        <w:t>T</w:t>
      </w:r>
      <w:r w:rsidR="00FA1496">
        <w:rPr>
          <w:rFonts w:ascii="Tahoma" w:hAnsi="Tahoma" w:cs="Tahoma"/>
          <w:b/>
          <w:bCs/>
          <w:spacing w:val="18"/>
          <w:sz w:val="24"/>
          <w:szCs w:val="24"/>
          <w:lang w:val="es-ES" w:eastAsia="es-ES"/>
        </w:rPr>
        <w:t>.M.S.A.</w:t>
      </w:r>
      <w:r>
        <w:rPr>
          <w:rFonts w:ascii="Tahoma" w:hAnsi="Tahoma" w:cs="Tahoma"/>
          <w:b/>
          <w:bCs/>
          <w:spacing w:val="18"/>
          <w:sz w:val="24"/>
          <w:szCs w:val="24"/>
          <w:lang w:val="es-ES" w:eastAsia="es-ES"/>
        </w:rPr>
        <w:t xml:space="preserve"> </w:t>
      </w:r>
      <w:r>
        <w:rPr>
          <w:rFonts w:ascii="Tahoma" w:hAnsi="Tahoma" w:cs="Tahoma"/>
          <w:spacing w:val="18"/>
          <w:sz w:val="24"/>
          <w:szCs w:val="24"/>
          <w:lang w:val="es-ES" w:eastAsia="es-ES"/>
        </w:rPr>
        <w:t>quien acciona por medio de</w:t>
      </w:r>
    </w:p>
    <w:p w:rsidR="0042350F" w:rsidRDefault="0042350F">
      <w:pPr>
        <w:widowControl/>
        <w:rPr>
          <w:sz w:val="24"/>
          <w:szCs w:val="24"/>
        </w:rPr>
        <w:sectPr w:rsidR="0042350F">
          <w:pgSz w:w="12134" w:h="15840"/>
          <w:pgMar w:top="1380" w:right="1475" w:bottom="364" w:left="1619" w:header="720" w:footer="720" w:gutter="0"/>
          <w:cols w:space="720"/>
          <w:noEndnote/>
        </w:sectPr>
      </w:pPr>
    </w:p>
    <w:p w:rsidR="0042350F" w:rsidRDefault="0042350F">
      <w:pPr>
        <w:widowControl/>
        <w:rPr>
          <w:sz w:val="24"/>
          <w:szCs w:val="24"/>
        </w:rPr>
        <w:sectPr w:rsidR="0042350F">
          <w:type w:val="continuous"/>
          <w:pgSz w:w="12134" w:h="15840"/>
          <w:pgMar w:top="1380" w:right="1562" w:bottom="364" w:left="8412" w:header="720" w:footer="720" w:gutter="0"/>
          <w:cols w:space="720"/>
          <w:noEndnote/>
        </w:sectPr>
      </w:pPr>
    </w:p>
    <w:p w:rsidR="0042350F" w:rsidRDefault="00E078D2">
      <w:pPr>
        <w:kinsoku w:val="0"/>
        <w:overflowPunct w:val="0"/>
        <w:autoSpaceDE/>
        <w:autoSpaceDN/>
        <w:adjustRightInd/>
        <w:spacing w:before="49" w:line="295" w:lineRule="exact"/>
        <w:ind w:left="144" w:right="72"/>
        <w:jc w:val="both"/>
        <w:textAlignment w:val="baseline"/>
        <w:rPr>
          <w:rFonts w:ascii="Tahoma" w:hAnsi="Tahoma" w:cs="Tahoma"/>
          <w:spacing w:val="14"/>
          <w:sz w:val="25"/>
          <w:szCs w:val="25"/>
          <w:lang w:val="es-ES" w:eastAsia="es-ES"/>
        </w:rPr>
      </w:pPr>
      <w:r>
        <w:rPr>
          <w:rFonts w:ascii="Tahoma" w:hAnsi="Tahoma" w:cs="Tahoma"/>
          <w:spacing w:val="14"/>
          <w:sz w:val="25"/>
          <w:szCs w:val="25"/>
          <w:lang w:val="es-ES" w:eastAsia="es-ES"/>
        </w:rPr>
        <w:lastRenderedPageBreak/>
        <w:t xml:space="preserve">su apoderado generalísimo sin límite de suma, el señor </w:t>
      </w:r>
      <w:r>
        <w:rPr>
          <w:rFonts w:ascii="Tahoma" w:hAnsi="Tahoma" w:cs="Tahoma"/>
          <w:b/>
          <w:bCs/>
          <w:spacing w:val="14"/>
          <w:sz w:val="25"/>
          <w:szCs w:val="25"/>
          <w:lang w:val="es-ES" w:eastAsia="es-ES"/>
        </w:rPr>
        <w:t>H</w:t>
      </w:r>
      <w:r w:rsidR="00FA1496">
        <w:rPr>
          <w:rFonts w:ascii="Tahoma" w:hAnsi="Tahoma" w:cs="Tahoma"/>
          <w:b/>
          <w:bCs/>
          <w:spacing w:val="14"/>
          <w:sz w:val="25"/>
          <w:szCs w:val="25"/>
          <w:lang w:val="es-ES" w:eastAsia="es-ES"/>
        </w:rPr>
        <w:t>.A.B.S.</w:t>
      </w:r>
      <w:r>
        <w:rPr>
          <w:rFonts w:ascii="Tahoma" w:hAnsi="Tahoma" w:cs="Tahoma"/>
          <w:b/>
          <w:bCs/>
          <w:spacing w:val="14"/>
          <w:sz w:val="25"/>
          <w:szCs w:val="25"/>
          <w:lang w:val="es-ES" w:eastAsia="es-ES"/>
        </w:rPr>
        <w:t xml:space="preserve">, </w:t>
      </w:r>
      <w:r>
        <w:rPr>
          <w:rFonts w:ascii="Tahoma" w:hAnsi="Tahoma" w:cs="Tahoma"/>
          <w:spacing w:val="14"/>
          <w:sz w:val="25"/>
          <w:szCs w:val="25"/>
          <w:lang w:val="es-ES" w:eastAsia="es-ES"/>
        </w:rPr>
        <w:t xml:space="preserve">cédula de identidad número </w:t>
      </w:r>
      <w:r w:rsidR="00FA1496">
        <w:rPr>
          <w:rFonts w:ascii="Tahoma" w:hAnsi="Tahoma" w:cs="Tahoma"/>
          <w:spacing w:val="14"/>
          <w:sz w:val="25"/>
          <w:szCs w:val="25"/>
          <w:lang w:val="es-ES" w:eastAsia="es-ES"/>
        </w:rPr>
        <w:t>…</w:t>
      </w:r>
      <w:r>
        <w:rPr>
          <w:rFonts w:ascii="Tahoma" w:hAnsi="Tahoma" w:cs="Tahoma"/>
          <w:spacing w:val="14"/>
          <w:sz w:val="25"/>
          <w:szCs w:val="25"/>
          <w:lang w:val="es-ES" w:eastAsia="es-ES"/>
        </w:rPr>
        <w:t xml:space="preserve">, se le mantiene el esquema operativo mediante el acuerdo que impugna, siendo que había solicitado un nuevo servicio, por lo que cuenta con legitimación para actuar en el presente asunto. </w:t>
      </w:r>
      <w:r>
        <w:rPr>
          <w:rFonts w:ascii="Tahoma" w:hAnsi="Tahoma" w:cs="Tahoma"/>
          <w:b/>
          <w:bCs/>
          <w:spacing w:val="14"/>
          <w:sz w:val="25"/>
          <w:szCs w:val="25"/>
          <w:u w:val="single"/>
          <w:lang w:val="es-ES" w:eastAsia="es-ES"/>
        </w:rPr>
        <w:t>En cuanto al plazo:</w:t>
      </w:r>
      <w:r>
        <w:rPr>
          <w:rFonts w:ascii="Tahoma" w:hAnsi="Tahoma" w:cs="Tahoma"/>
          <w:spacing w:val="14"/>
          <w:sz w:val="25"/>
          <w:szCs w:val="25"/>
          <w:lang w:val="es-ES" w:eastAsia="es-ES"/>
        </w:rPr>
        <w:t xml:space="preserve"> Conforme al estudio efectuado, el Recurso de Apelación, se tiene por presentado dentro del plazo legal establecido para tal fin, en los términos del artículo 11 de la Ley Reguladora del Servicio Público de Transporte Remunerado de Personas en vehículos en la modalidad de taxi, Ley N° 7969, del 28 de enero del 2000, ya que el recurso fue notificado el 11 de noviembre del 2013 y el recurso fue presentado el 18 de noviembre del mismo año.</w:t>
      </w:r>
    </w:p>
    <w:p w:rsidR="0042350F" w:rsidRDefault="00E078D2">
      <w:pPr>
        <w:kinsoku w:val="0"/>
        <w:overflowPunct w:val="0"/>
        <w:autoSpaceDE/>
        <w:autoSpaceDN/>
        <w:adjustRightInd/>
        <w:spacing w:before="294" w:line="292" w:lineRule="exact"/>
        <w:ind w:left="144" w:right="72"/>
        <w:jc w:val="both"/>
        <w:textAlignment w:val="baseline"/>
        <w:rPr>
          <w:rFonts w:ascii="Tahoma" w:hAnsi="Tahoma" w:cs="Tahoma"/>
          <w:b/>
          <w:bCs/>
          <w:spacing w:val="12"/>
          <w:sz w:val="25"/>
          <w:szCs w:val="25"/>
          <w:lang w:val="es-ES" w:eastAsia="es-ES"/>
        </w:rPr>
      </w:pPr>
      <w:r>
        <w:rPr>
          <w:rFonts w:ascii="Tahoma" w:hAnsi="Tahoma" w:cs="Tahoma"/>
          <w:b/>
          <w:bCs/>
          <w:spacing w:val="12"/>
          <w:sz w:val="25"/>
          <w:szCs w:val="25"/>
          <w:lang w:val="es-ES" w:eastAsia="es-ES"/>
        </w:rPr>
        <w:t>3.- HECHOS PROBADOS DE IMPORTANCIA PARA ESTE ASUNTO:</w:t>
      </w:r>
    </w:p>
    <w:p w:rsidR="0042350F" w:rsidRDefault="00E078D2">
      <w:pPr>
        <w:numPr>
          <w:ilvl w:val="0"/>
          <w:numId w:val="13"/>
        </w:numPr>
        <w:kinsoku w:val="0"/>
        <w:overflowPunct w:val="0"/>
        <w:autoSpaceDE/>
        <w:autoSpaceDN/>
        <w:adjustRightInd/>
        <w:spacing w:line="295" w:lineRule="exact"/>
        <w:ind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t xml:space="preserve">La Junta Directiva del Consejo de Transporte Público dispone mediante </w:t>
      </w:r>
      <w:r>
        <w:rPr>
          <w:rFonts w:ascii="Tahoma" w:hAnsi="Tahoma" w:cs="Tahoma"/>
          <w:b/>
          <w:bCs/>
          <w:spacing w:val="12"/>
          <w:sz w:val="25"/>
          <w:szCs w:val="25"/>
          <w:lang w:val="es-ES" w:eastAsia="es-ES"/>
        </w:rPr>
        <w:t xml:space="preserve">Artículo 7.38 de la Sesión Ordinaria 78-2013, </w:t>
      </w:r>
      <w:r>
        <w:rPr>
          <w:rFonts w:ascii="Tahoma" w:hAnsi="Tahoma" w:cs="Tahoma"/>
          <w:spacing w:val="12"/>
          <w:sz w:val="25"/>
          <w:szCs w:val="25"/>
          <w:lang w:val="es-ES" w:eastAsia="es-ES"/>
        </w:rPr>
        <w:t>celebrada por la Junta Directiva del Consejo de Transporte Público, el 24 de octubre del 2013, mantener el sistema operativo autorizado para la ruta N° 140, específicamente en su ramal descrito como San Isidro de El General - Beneficio y viceversa, de acuerdo al artículo N° 3.4, de la sesión ordinaria 90-2008, de la Junta Directiva del Consejo de Transporte público, del 09 de diciembre de 2008. Además acuerda autorizar modificaciones en las rutas 137 y 185. (Léanse folios 158 al 168 del expediente administrativo)</w:t>
      </w:r>
    </w:p>
    <w:p w:rsidR="0042350F" w:rsidRDefault="00E078D2">
      <w:pPr>
        <w:numPr>
          <w:ilvl w:val="0"/>
          <w:numId w:val="14"/>
        </w:numPr>
        <w:kinsoku w:val="0"/>
        <w:overflowPunct w:val="0"/>
        <w:autoSpaceDE/>
        <w:autoSpaceDN/>
        <w:adjustRightInd/>
        <w:spacing w:before="318" w:after="427" w:line="295" w:lineRule="exact"/>
        <w:ind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t>La recurrente presenta Recurso de Apelación y Nulidad concomitante contra el acuerdo impugnado e indica que el acuerdo impugnado autoriza horarios a las rutas 137 y 185 por lo que se atenta contra sus intereses, ya que los operadores de dichas rutas están haciendo recorridos no autorizados pues modificaron unilateralmente su recorrido cambiando la salida de y adentrándose en el recorrido de la ruta 140 en el tramo de los Chiles al INVU El Clavel. El informe en el que se sustenta el acuerdo impugnado es contrario a las reglas de la ciencia y la Técnica, omite varios aspecto del cuadro fáctico que circunda la situación que se está dando. Dicho informe se da por lo ordenado por la Junta Directiva mediante acuerdo 6.5 de la Sesión Ordinaria 79-2014, con el fin de realizar un estudio integral y mejorar el servicio para las comunidades de Las Rosas, el INVU, El Clavel y Los Chiles, dentro de los cuales intervienen las rutas 140, 137 y 185. 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w:t>
      </w:r>
    </w:p>
    <w:p w:rsidR="0042350F" w:rsidRDefault="0042350F">
      <w:pPr>
        <w:widowControl/>
        <w:rPr>
          <w:sz w:val="24"/>
          <w:szCs w:val="24"/>
        </w:rPr>
        <w:sectPr w:rsidR="0042350F">
          <w:pgSz w:w="12134" w:h="15840"/>
          <w:pgMar w:top="1400" w:right="1501" w:bottom="324" w:left="1593" w:header="720" w:footer="720" w:gutter="0"/>
          <w:cols w:space="720"/>
          <w:noEndnote/>
        </w:sectPr>
      </w:pPr>
    </w:p>
    <w:p w:rsidR="0042350F" w:rsidRDefault="0042350F">
      <w:pPr>
        <w:widowControl/>
        <w:rPr>
          <w:sz w:val="24"/>
          <w:szCs w:val="24"/>
        </w:rPr>
        <w:sectPr w:rsidR="0042350F">
          <w:type w:val="continuous"/>
          <w:pgSz w:w="12134" w:h="15840"/>
          <w:pgMar w:top="1400" w:right="1576" w:bottom="324" w:left="8398" w:header="720" w:footer="720" w:gutter="0"/>
          <w:cols w:space="720"/>
          <w:noEndnote/>
        </w:sectPr>
      </w:pPr>
    </w:p>
    <w:p w:rsidR="0042350F" w:rsidRDefault="00E078D2" w:rsidP="0088665C">
      <w:pPr>
        <w:kinsoku w:val="0"/>
        <w:overflowPunct w:val="0"/>
        <w:autoSpaceDE/>
        <w:autoSpaceDN/>
        <w:adjustRightInd/>
        <w:spacing w:before="24" w:line="295" w:lineRule="exact"/>
        <w:ind w:left="72" w:right="72"/>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permite evaluar otros puntos para lograr un estudio integral, tal como se ordena en el acuerdo por el cual se da el estudio. El muestreo se realizó los días 19 y 21 de marzo del 2013 existiendo una serie de inconsistencias en cuanto a la redacción, ya que se argumenta que se realizó un monitoreo en todos los servicios brindados por las rutas 140,137 y 185 (censo), pero posteriormente se indica que se obtuvo una muestra de esos servicios entre las 6 horas y las 19 horas con un nivel de confianza del 95%, lo que deja ver un inadecuado conocimiento de la Estadística utilizada en el estudio. 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 El estudio incrementa de manera inadecuada las carreras que realizan las rutas 137 y la 185, en contra dicho de lo aprobado por el CTP, lo que crea claramente competencia desleal en perjuicio de la ruta 140, a la cual pone en una condición de desventaja. Además considera sorprendente que se aprueben cambios en una ruta que invada de manera clara la zona de acción y operación de la recurrente por el simple hecho de utilizar zonas de vialidad mixta. Las rutas fueron determinadas a partir de una necesidad de servicio de las comunidades de Quizarrá y Miraflores, las cuales no fueron monitoreadas en dicho estudio, sino incorporando demandas no propias de dichas rutas, lo que evidencia un error de interpretación y un daño en el equilibrio financiero de la recurrente. El sumar pasajeros de un área que no pertenece a la zona de exclusividad despoja el derecho a los usuarios de conocer la situación real en las rutas estudiadas. Queda claro del estudio que se hicieron estudios en el corredor común en cuanto a la ruta 185 y 137 pero solo se puede hacer un estudio de demanda propia de cada ruta en aquellas zonas de exclusividad, pues si se bajan dentro del corredor</w:t>
      </w:r>
      <w:r w:rsidR="0088665C">
        <w:rPr>
          <w:rFonts w:ascii="Verdana" w:hAnsi="Verdana" w:cs="Verdana"/>
          <w:sz w:val="24"/>
          <w:szCs w:val="24"/>
          <w:lang w:val="es-ES" w:eastAsia="es-ES"/>
        </w:rPr>
        <w:t xml:space="preserve"> </w:t>
      </w:r>
      <w:r>
        <w:rPr>
          <w:rFonts w:ascii="Verdana" w:hAnsi="Verdana" w:cs="Verdana"/>
          <w:sz w:val="24"/>
          <w:szCs w:val="24"/>
          <w:lang w:val="es-ES" w:eastAsia="es-ES"/>
        </w:rPr>
        <w:t>común significa que no hay exclusividad.</w:t>
      </w:r>
      <w:r>
        <w:rPr>
          <w:rFonts w:ascii="Verdana" w:hAnsi="Verdana" w:cs="Verdana"/>
          <w:sz w:val="24"/>
          <w:szCs w:val="24"/>
          <w:lang w:val="es-ES" w:eastAsia="es-ES"/>
        </w:rPr>
        <w:tab/>
        <w:t>Es clara la intención de</w:t>
      </w:r>
      <w:r>
        <w:rPr>
          <w:rFonts w:ascii="Verdana" w:hAnsi="Verdana" w:cs="Verdana"/>
          <w:sz w:val="24"/>
          <w:szCs w:val="24"/>
          <w:lang w:val="es-ES" w:eastAsia="es-ES"/>
        </w:rPr>
        <w:br/>
        <w:t>favorecer a las rutas 137 y 185, de conformidad con el estudio realizado por lo que solicita se declare con lugar el recurso de revocatoria y se anule el acuerdo impugnado. (Léanse folios del 24 al 46 del expediente administrativo).</w:t>
      </w:r>
    </w:p>
    <w:p w:rsidR="0042350F" w:rsidRDefault="00E078D2">
      <w:pPr>
        <w:kinsoku w:val="0"/>
        <w:overflowPunct w:val="0"/>
        <w:autoSpaceDE/>
        <w:autoSpaceDN/>
        <w:adjustRightInd/>
        <w:spacing w:before="304" w:after="424" w:line="295" w:lineRule="exact"/>
        <w:ind w:left="72" w:right="72"/>
        <w:jc w:val="both"/>
        <w:textAlignment w:val="baseline"/>
        <w:rPr>
          <w:rFonts w:ascii="Verdana" w:hAnsi="Verdana" w:cs="Verdana"/>
          <w:sz w:val="24"/>
          <w:szCs w:val="24"/>
          <w:lang w:val="es-ES" w:eastAsia="es-ES"/>
        </w:rPr>
      </w:pPr>
      <w:r>
        <w:rPr>
          <w:rFonts w:ascii="Verdana" w:hAnsi="Verdana" w:cs="Verdana"/>
          <w:b/>
          <w:bCs/>
          <w:sz w:val="24"/>
          <w:szCs w:val="24"/>
          <w:lang w:val="es-ES" w:eastAsia="es-ES"/>
        </w:rPr>
        <w:t xml:space="preserve">C).- </w:t>
      </w:r>
      <w:r>
        <w:rPr>
          <w:rFonts w:ascii="Verdana" w:hAnsi="Verdana" w:cs="Verdana"/>
          <w:sz w:val="24"/>
          <w:szCs w:val="24"/>
          <w:lang w:val="es-ES" w:eastAsia="es-ES"/>
        </w:rPr>
        <w:t xml:space="preserve">La Junta Directiva del Consejo de Transporte Público MEDIANTE ACUERDO 7.2 DE LA SESIÓN ORDINARIA 03-2015 DEL 21 DE ENERO DE 2015, conoce y aprueba el informe </w:t>
      </w:r>
      <w:r>
        <w:rPr>
          <w:rFonts w:ascii="Verdana" w:hAnsi="Verdana" w:cs="Verdana"/>
          <w:b/>
          <w:bCs/>
          <w:sz w:val="24"/>
          <w:szCs w:val="24"/>
          <w:lang w:val="es-ES" w:eastAsia="es-ES"/>
        </w:rPr>
        <w:t xml:space="preserve">DA)-2015000084 del 12 de enero de 2015 </w:t>
      </w:r>
      <w:r>
        <w:rPr>
          <w:rFonts w:ascii="Verdana" w:hAnsi="Verdana" w:cs="Verdana"/>
          <w:sz w:val="24"/>
          <w:szCs w:val="24"/>
          <w:lang w:val="es-ES" w:eastAsia="es-ES"/>
        </w:rPr>
        <w:t>de la Dirección de Asuntos Jurídicos y determina en su parte dispositiva rechazar el recurso de revocatoria y la nulidad presentada,</w:t>
      </w:r>
    </w:p>
    <w:p w:rsidR="0042350F" w:rsidRDefault="0042350F">
      <w:pPr>
        <w:widowControl/>
        <w:rPr>
          <w:sz w:val="24"/>
          <w:szCs w:val="24"/>
        </w:rPr>
        <w:sectPr w:rsidR="0042350F">
          <w:pgSz w:w="12134" w:h="15840"/>
          <w:pgMar w:top="1420" w:right="1508" w:bottom="364" w:left="1586" w:header="720" w:footer="720" w:gutter="0"/>
          <w:cols w:space="720"/>
          <w:noEndnote/>
        </w:sectPr>
      </w:pPr>
    </w:p>
    <w:p w:rsidR="0042350F" w:rsidRDefault="0042350F">
      <w:pPr>
        <w:widowControl/>
        <w:rPr>
          <w:sz w:val="24"/>
          <w:szCs w:val="24"/>
        </w:rPr>
        <w:sectPr w:rsidR="0042350F">
          <w:type w:val="continuous"/>
          <w:pgSz w:w="12134" w:h="15840"/>
          <w:pgMar w:top="1420" w:right="1575" w:bottom="364" w:left="8299" w:header="720" w:footer="720" w:gutter="0"/>
          <w:cols w:space="720"/>
          <w:noEndnote/>
        </w:sectPr>
      </w:pPr>
    </w:p>
    <w:p w:rsidR="0042350F" w:rsidRDefault="00E078D2">
      <w:pPr>
        <w:kinsoku w:val="0"/>
        <w:overflowPunct w:val="0"/>
        <w:autoSpaceDE/>
        <w:autoSpaceDN/>
        <w:adjustRightInd/>
        <w:spacing w:before="19" w:line="295" w:lineRule="exact"/>
        <w:ind w:left="72" w:right="72"/>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lastRenderedPageBreak/>
        <w:t>ya que 'contrario a la indicado por la recurrente el acto si se encuentra debidamente motivado, y esa motivación es el informe técnico del departamento de Ingeniería, además dicho estudio si se encuentra sustentado y fundamentado, por lo que el recurso es improcedente. (Léanse folios 1 y del 108 al 137 del expediente administrativo).</w:t>
      </w:r>
    </w:p>
    <w:p w:rsidR="0042350F" w:rsidRDefault="00E078D2">
      <w:pPr>
        <w:kinsoku w:val="0"/>
        <w:overflowPunct w:val="0"/>
        <w:autoSpaceDE/>
        <w:autoSpaceDN/>
        <w:adjustRightInd/>
        <w:spacing w:before="310" w:after="432" w:line="295" w:lineRule="exact"/>
        <w:ind w:left="72" w:right="72"/>
        <w:jc w:val="both"/>
        <w:textAlignment w:val="baseline"/>
        <w:rPr>
          <w:rFonts w:ascii="Tahoma" w:hAnsi="Tahoma" w:cs="Tahoma"/>
          <w:spacing w:val="11"/>
          <w:sz w:val="25"/>
          <w:szCs w:val="25"/>
          <w:lang w:val="es-ES" w:eastAsia="es-ES"/>
        </w:rPr>
      </w:pPr>
      <w:r>
        <w:rPr>
          <w:rFonts w:ascii="Tahoma" w:hAnsi="Tahoma" w:cs="Tahoma"/>
          <w:b/>
          <w:bCs/>
          <w:spacing w:val="11"/>
          <w:sz w:val="25"/>
          <w:szCs w:val="25"/>
          <w:lang w:val="es-ES" w:eastAsia="es-ES"/>
        </w:rPr>
        <w:t xml:space="preserve">D).- </w:t>
      </w:r>
      <w:r>
        <w:rPr>
          <w:rFonts w:ascii="Tahoma" w:hAnsi="Tahoma" w:cs="Tahoma"/>
          <w:spacing w:val="11"/>
          <w:sz w:val="25"/>
          <w:szCs w:val="25"/>
          <w:lang w:val="es-ES" w:eastAsia="es-ES"/>
        </w:rPr>
        <w:t xml:space="preserve">Ante prevención de este Tribunal Administrativo de fecha 5 de febrero de 2015, la empresa </w:t>
      </w:r>
      <w:r>
        <w:rPr>
          <w:rFonts w:ascii="Tahoma" w:hAnsi="Tahoma" w:cs="Tahoma"/>
          <w:b/>
          <w:bCs/>
          <w:spacing w:val="11"/>
          <w:sz w:val="25"/>
          <w:szCs w:val="25"/>
          <w:lang w:val="es-ES" w:eastAsia="es-ES"/>
        </w:rPr>
        <w:t>A</w:t>
      </w:r>
      <w:r w:rsidR="0088665C">
        <w:rPr>
          <w:rFonts w:ascii="Tahoma" w:hAnsi="Tahoma" w:cs="Tahoma"/>
          <w:b/>
          <w:bCs/>
          <w:spacing w:val="11"/>
          <w:sz w:val="25"/>
          <w:szCs w:val="25"/>
          <w:lang w:val="es-ES" w:eastAsia="es-ES"/>
        </w:rPr>
        <w:t>.M.</w:t>
      </w:r>
      <w:r>
        <w:rPr>
          <w:rFonts w:ascii="Tahoma" w:hAnsi="Tahoma" w:cs="Tahoma"/>
          <w:b/>
          <w:bCs/>
          <w:spacing w:val="11"/>
          <w:sz w:val="25"/>
          <w:szCs w:val="25"/>
          <w:lang w:val="es-ES" w:eastAsia="es-ES"/>
        </w:rPr>
        <w:t>S.A., por medio de su representante H</w:t>
      </w:r>
      <w:r w:rsidR="0088665C">
        <w:rPr>
          <w:rFonts w:ascii="Tahoma" w:hAnsi="Tahoma" w:cs="Tahoma"/>
          <w:b/>
          <w:bCs/>
          <w:spacing w:val="11"/>
          <w:sz w:val="25"/>
          <w:szCs w:val="25"/>
          <w:lang w:val="es-ES" w:eastAsia="es-ES"/>
        </w:rPr>
        <w:t>.B.S.</w:t>
      </w:r>
      <w:r>
        <w:rPr>
          <w:rFonts w:ascii="Tahoma" w:hAnsi="Tahoma" w:cs="Tahoma"/>
          <w:b/>
          <w:bCs/>
          <w:spacing w:val="11"/>
          <w:sz w:val="25"/>
          <w:szCs w:val="25"/>
          <w:lang w:val="es-ES" w:eastAsia="es-ES"/>
        </w:rPr>
        <w:t xml:space="preserve">, </w:t>
      </w:r>
      <w:r>
        <w:rPr>
          <w:rFonts w:ascii="Tahoma" w:hAnsi="Tahoma" w:cs="Tahoma"/>
          <w:spacing w:val="11"/>
          <w:sz w:val="25"/>
          <w:szCs w:val="25"/>
          <w:lang w:val="es-ES" w:eastAsia="es-ES"/>
        </w:rPr>
        <w:t xml:space="preserve">se apersona a este despacho el 16 de febrero de </w:t>
      </w:r>
      <w:r w:rsidRPr="0088665C">
        <w:rPr>
          <w:rFonts w:ascii="Tahoma" w:hAnsi="Tahoma" w:cs="Tahoma"/>
          <w:bCs/>
          <w:spacing w:val="11"/>
          <w:sz w:val="25"/>
          <w:szCs w:val="25"/>
          <w:lang w:val="es-ES" w:eastAsia="es-ES"/>
        </w:rPr>
        <w:t>los</w:t>
      </w:r>
      <w:r>
        <w:rPr>
          <w:rFonts w:ascii="Tahoma" w:hAnsi="Tahoma" w:cs="Tahoma"/>
          <w:b/>
          <w:bCs/>
          <w:spacing w:val="11"/>
          <w:sz w:val="25"/>
          <w:szCs w:val="25"/>
          <w:lang w:val="es-ES" w:eastAsia="es-ES"/>
        </w:rPr>
        <w:t xml:space="preserve"> </w:t>
      </w:r>
      <w:r>
        <w:rPr>
          <w:rFonts w:ascii="Tahoma" w:hAnsi="Tahoma" w:cs="Tahoma"/>
          <w:spacing w:val="11"/>
          <w:sz w:val="25"/>
          <w:szCs w:val="25"/>
          <w:lang w:val="es-ES" w:eastAsia="es-ES"/>
        </w:rPr>
        <w:t>corrientes y manifiesta en resumen y en lo que interesa indica que mediante acuerdo 6.5 adoptado por la Junta Directiva del CTP en la Sesión 79-2012 del 14 de noviembre de 2012 se ordena al departamento de Ingeniería del CTP realizar un estudio técnico integral sobre la demanda de servicio público de transporte remunerado de personas en la modalidad de autobuses de la zona de Las Rosas, INVU, El Clavel y Los Chiles y sobre la operación de las rutas 140, 137 y 185 con la finalidad de determinar a quien le corresponde la Atención de la demanda del servicio público en las localidades indicadas. Mediante informe DING-13-1737 del Departamento de Ingeniería y suscrito por el señor Ronny Barrantes Bolandi se indica el 6 de setiembre de 2013, que se rinde en cumplimiento de lo ordenado en acuerdo 6.5 de la Sesión Ordinaria 79</w:t>
      </w:r>
      <w:r>
        <w:rPr>
          <w:rFonts w:ascii="Tahoma" w:hAnsi="Tahoma" w:cs="Tahoma"/>
          <w:spacing w:val="11"/>
          <w:sz w:val="25"/>
          <w:szCs w:val="25"/>
          <w:lang w:val="es-ES" w:eastAsia="es-ES"/>
        </w:rPr>
        <w:softHyphen/>
        <w:t>2012 del 14 de noviembre de 2012. Pero la realidad es que el informe descrito incumple más bien lo ordenado en el acuerdo descrito ya que en lugar de realizar un estudio integral sobre la demanda de servicios en las localidades indicadas supra y la operación de las rutas referidas, para determinar a quién le corresponde la atención de las localidades Las Rosas, Invú, El clavel y Los Chiles, lo que se efectúa es un estudio técnico parcial y parcializado de los operadores de las rutas involucradas entre el corredor comprendido entre la localidad de los Chiles y el cruce del colegio pedagógico José Breideroff. El estudio que culmina en el informe DING-13-1737 y que es el sustento del acto 7.38 de la Sesión Ordinaria 78-2013 de 24 de octubre de 2013 es contrario a la técnica y la ciencia y el acto referido carece de la debida motivación. El objeto del recurso que presenta es que se declare la nulidad tanto del informe como del acto referido supra ya que ambos son contrarios a la Legalidad y por adolecer ambos de vicios por falta de fundamentación existiendo una incongruencia evidente entre el motivo, contenido y el fin de ambos actos administrativos. Violentan también el principio de intangibilidad patrimonial y afectan el equilibrio financiero. Ambos actos el acuerdo impugnado y el informe que lo sustenta son absolutamente nulos por carecer de los elementos materiales exigibles para que el acto administrativo sea válido y eficaz, ambos actos lesionan el principio de razonabilidad, por evidenciar una total incoherencia entre el motivo,</w:t>
      </w:r>
    </w:p>
    <w:p w:rsidR="0042350F" w:rsidRDefault="0042350F">
      <w:pPr>
        <w:widowControl/>
        <w:rPr>
          <w:sz w:val="24"/>
          <w:szCs w:val="24"/>
        </w:rPr>
        <w:sectPr w:rsidR="0042350F">
          <w:pgSz w:w="12134" w:h="15840"/>
          <w:pgMar w:top="1400" w:right="1480" w:bottom="364" w:left="1614" w:header="720" w:footer="720" w:gutter="0"/>
          <w:cols w:space="720"/>
          <w:noEndnote/>
        </w:sectPr>
      </w:pPr>
    </w:p>
    <w:p w:rsidR="0042350F" w:rsidRDefault="0042350F">
      <w:pPr>
        <w:widowControl/>
        <w:rPr>
          <w:sz w:val="24"/>
          <w:szCs w:val="24"/>
        </w:rPr>
        <w:sectPr w:rsidR="0042350F">
          <w:type w:val="continuous"/>
          <w:pgSz w:w="12134" w:h="15840"/>
          <w:pgMar w:top="1400" w:right="1574" w:bottom="364" w:left="8300" w:header="720" w:footer="720" w:gutter="0"/>
          <w:cols w:space="720"/>
          <w:noEndnote/>
        </w:sectPr>
      </w:pPr>
    </w:p>
    <w:p w:rsidR="0042350F" w:rsidRDefault="00E078D2">
      <w:pPr>
        <w:kinsoku w:val="0"/>
        <w:overflowPunct w:val="0"/>
        <w:autoSpaceDE/>
        <w:autoSpaceDN/>
        <w:adjustRightInd/>
        <w:spacing w:before="54" w:after="426" w:line="295" w:lineRule="exact"/>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lastRenderedPageBreak/>
        <w:t>contenido y el fin. Debían cumplir con lo ordenado en acuerdo 6.5 de la Sesión Ordinaria 79-2012, lo cual significaba realizar un estudio integral sobre la demanda del servicio público en la zona de Las Rosas, Invu, El Clavel y Los Chiles y sobre la operación de las rutas 140, 137 y 185, sin embarco se omite cumplir con estas disposiciones y lo que hace es un estudio parcial y parcializado de las operaciones de las rutas involucradas en el corredor comprendido entre la entrada de los Chiles en el cruce con la carretera nacional Número 2 y el cruce donde se encuentra el colegio Pedagógico José Breideroff en los chiles de Pérez Zeledón, sin determinar a quién le corresponde la atención de la demanda del servicio público a las localidades de reiterada cita, por lo que el informe DING-13-1737 persiguió un fin distinto al que la Administración le indico constituyendo desviación de poder. El informe en el que se sustenta el acuerdo impugnado es contrario a las reglas de la ciencia y la Técnica, omite varios aspectos del cuadro fáctico que circunda la situación que se está dando. Dicho informe se da por lo ordenado por la Junta Directiva mediante acuerdo 6.5 de la Sesión Ordinaria 79-2012, con el fin de realizar un estudio integral y mejorar el servicio para las comunidades de Las Rosas, el INVU, El Clavel y Los Chiles, dentro de los cuales intervienen las rutas 140, 137 y 185. 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 permite evaluar otros puntos para lograr un estudio integral, tal como se ordena en el acuerdo por el cual se da el estudio. El muestreo se realizó los días 19 y 21 de marzo del 2013 existiendo una serie de inconsistencias en cuanto a la redacción, ya que se argumenta que se realizó un monitoreo en todos los servicios brindados por las rutas 140,137 y 185 (censo), pero posteriormente se indica que se obtuvo una muestra de esos servicios entre las 6 horas y las 19 horas con un nivel de confianza del 95%, lo que deja ver un inadecuado conocimiento de la Estadística utilizada en el estudio. 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 El estudio incrementa de manera inadecuada las carreras que realizan las rutas 137 y la 185, en contra dicho de lo aprobado por el CTP, lo que crea claramente competencia desleal en perjuicio de la ruta</w:t>
      </w:r>
    </w:p>
    <w:p w:rsidR="0042350F" w:rsidRDefault="0042350F">
      <w:pPr>
        <w:widowControl/>
        <w:rPr>
          <w:sz w:val="24"/>
          <w:szCs w:val="24"/>
        </w:rPr>
        <w:sectPr w:rsidR="0042350F">
          <w:pgSz w:w="12134" w:h="15840"/>
          <w:pgMar w:top="1400" w:right="1547" w:bottom="344" w:left="1687" w:header="720" w:footer="720" w:gutter="0"/>
          <w:cols w:space="720"/>
          <w:noEndnote/>
        </w:sectPr>
      </w:pPr>
    </w:p>
    <w:p w:rsidR="0042350F" w:rsidRDefault="0042350F">
      <w:pPr>
        <w:widowControl/>
        <w:rPr>
          <w:sz w:val="24"/>
          <w:szCs w:val="24"/>
        </w:rPr>
        <w:sectPr w:rsidR="0042350F">
          <w:type w:val="continuous"/>
          <w:pgSz w:w="12134" w:h="15840"/>
          <w:pgMar w:top="1400" w:right="1548" w:bottom="344" w:left="8326" w:header="720" w:footer="720" w:gutter="0"/>
          <w:cols w:space="720"/>
          <w:noEndnote/>
        </w:sectPr>
      </w:pPr>
    </w:p>
    <w:p w:rsidR="0042350F" w:rsidRDefault="00E078D2" w:rsidP="0088665C">
      <w:pPr>
        <w:kinsoku w:val="0"/>
        <w:overflowPunct w:val="0"/>
        <w:autoSpaceDE/>
        <w:autoSpaceDN/>
        <w:adjustRightInd/>
        <w:spacing w:before="14" w:line="296" w:lineRule="exact"/>
        <w:ind w:left="72"/>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140, a la cual pone en una condición de desventaja. Además considera sorprendente que se aprueben cambios en una ruta que invada de manera clara la zona de acción y operación de la recurrente por el simple hecho de utilizar zonas de vialidad mixta. Las rutas fueron determinadas a partir de una necesidad de servicio de las comunidades de Quizarrá y Miraflores, las cuales no fueron monitoreadas en dicho estudio, sino incorporando demandas no propias de dichas rutas, lo que evidencia un error de interpretación y un daño en el equilibrio financiero de la recurrente. El sumar pasajeros de un área que no pertenece a la zona de exclusividad despoja el derecho a los usuarios de conocer la situación real en las rutas estudiadas. Queda claro del estudio que se hicieron estudios en el corredor común en cuanto a la ruta 185 y 137 pero solo se puede hacer un estudio de demanda propia de cada ruta en aquellas zonas de exclusividad, pues si se bajan dentro del corredor</w:t>
      </w:r>
      <w:r w:rsidR="0088665C">
        <w:rPr>
          <w:rFonts w:ascii="Verdana" w:hAnsi="Verdana" w:cs="Verdana"/>
          <w:sz w:val="24"/>
          <w:szCs w:val="24"/>
          <w:lang w:val="es-ES" w:eastAsia="es-ES"/>
        </w:rPr>
        <w:t xml:space="preserve"> </w:t>
      </w:r>
      <w:r>
        <w:rPr>
          <w:rFonts w:ascii="Verdana" w:hAnsi="Verdana" w:cs="Verdana"/>
          <w:sz w:val="24"/>
          <w:szCs w:val="24"/>
          <w:lang w:val="es-ES" w:eastAsia="es-ES"/>
        </w:rPr>
        <w:t>común significa que no hay exclusividad.</w:t>
      </w:r>
      <w:r>
        <w:rPr>
          <w:rFonts w:ascii="Verdana" w:hAnsi="Verdana" w:cs="Verdana"/>
          <w:sz w:val="24"/>
          <w:szCs w:val="24"/>
          <w:lang w:val="es-ES" w:eastAsia="es-ES"/>
        </w:rPr>
        <w:tab/>
      </w:r>
      <w:r w:rsidR="0088665C">
        <w:rPr>
          <w:rFonts w:ascii="Verdana" w:hAnsi="Verdana" w:cs="Verdana"/>
          <w:sz w:val="24"/>
          <w:szCs w:val="24"/>
          <w:lang w:val="es-ES" w:eastAsia="es-ES"/>
        </w:rPr>
        <w:t xml:space="preserve"> </w:t>
      </w:r>
      <w:r>
        <w:rPr>
          <w:rFonts w:ascii="Verdana" w:hAnsi="Verdana" w:cs="Verdana"/>
          <w:sz w:val="24"/>
          <w:szCs w:val="24"/>
          <w:lang w:val="es-ES" w:eastAsia="es-ES"/>
        </w:rPr>
        <w:t>Es</w:t>
      </w:r>
      <w:r w:rsidR="0088665C">
        <w:rPr>
          <w:rFonts w:ascii="Verdana" w:hAnsi="Verdana" w:cs="Verdana"/>
          <w:sz w:val="24"/>
          <w:szCs w:val="24"/>
          <w:lang w:val="es-ES" w:eastAsia="es-ES"/>
        </w:rPr>
        <w:t xml:space="preserve"> </w:t>
      </w:r>
      <w:r>
        <w:rPr>
          <w:rFonts w:ascii="Verdana" w:hAnsi="Verdana" w:cs="Verdana"/>
          <w:sz w:val="24"/>
          <w:szCs w:val="24"/>
          <w:lang w:val="es-ES" w:eastAsia="es-ES"/>
        </w:rPr>
        <w:t>clara la intención de</w:t>
      </w:r>
      <w:r>
        <w:rPr>
          <w:rFonts w:ascii="Verdana" w:hAnsi="Verdana" w:cs="Verdana"/>
          <w:sz w:val="24"/>
          <w:szCs w:val="24"/>
          <w:lang w:val="es-ES" w:eastAsia="es-ES"/>
        </w:rPr>
        <w:br/>
        <w:t>favorecer a las rutas 137 y 185, de conformidad con el estudio realizado por lo que solicita se declare con lugar el recurso de revocatoria y se anule el acuerdo impugnado.( Léanse folios del 76 al 100 del expediente administrativo)</w:t>
      </w:r>
    </w:p>
    <w:p w:rsidR="0042350F" w:rsidRDefault="00E078D2">
      <w:pPr>
        <w:numPr>
          <w:ilvl w:val="0"/>
          <w:numId w:val="15"/>
        </w:numPr>
        <w:kinsoku w:val="0"/>
        <w:overflowPunct w:val="0"/>
        <w:autoSpaceDE/>
        <w:autoSpaceDN/>
        <w:adjustRightInd/>
        <w:spacing w:before="25" w:line="294"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 xml:space="preserve">Mediante acuerdo 6.5 de la Sesión Ordinaria 79-2012 del 14 de noviembre de 2012, la Junta Directiva del Consejo de Transporte Público determina, </w:t>
      </w:r>
      <w:r>
        <w:rPr>
          <w:rFonts w:ascii="Verdana" w:hAnsi="Verdana" w:cs="Verdana"/>
          <w:i/>
          <w:iCs/>
          <w:sz w:val="24"/>
          <w:szCs w:val="24"/>
          <w:lang w:val="es-ES" w:eastAsia="es-ES"/>
        </w:rPr>
        <w:t>denegar la solicitud planteada por la empresa A</w:t>
      </w:r>
      <w:r w:rsidR="0088665C">
        <w:rPr>
          <w:rFonts w:ascii="Verdana" w:hAnsi="Verdana" w:cs="Verdana"/>
          <w:i/>
          <w:iCs/>
          <w:sz w:val="24"/>
          <w:szCs w:val="24"/>
          <w:lang w:val="es-ES" w:eastAsia="es-ES"/>
        </w:rPr>
        <w:t>.M.</w:t>
      </w:r>
      <w:r>
        <w:rPr>
          <w:rFonts w:ascii="Verdana" w:hAnsi="Verdana" w:cs="Verdana"/>
          <w:i/>
          <w:iCs/>
          <w:sz w:val="24"/>
          <w:szCs w:val="24"/>
          <w:lang w:val="es-ES" w:eastAsia="es-ES"/>
        </w:rPr>
        <w:t>S.A. para modificar el recorrido de la Ruta N° 140 y brindar servicio a las localidades de Invu, El clavel, Las Rosas y los Chiles, denegar la solicitud presentada por el señor G</w:t>
      </w:r>
      <w:r w:rsidR="0088665C">
        <w:rPr>
          <w:rFonts w:ascii="Verdana" w:hAnsi="Verdana" w:cs="Verdana"/>
          <w:i/>
          <w:iCs/>
          <w:sz w:val="24"/>
          <w:szCs w:val="24"/>
          <w:lang w:val="es-ES" w:eastAsia="es-ES"/>
        </w:rPr>
        <w:t>.F.S.</w:t>
      </w:r>
      <w:r>
        <w:rPr>
          <w:rFonts w:ascii="Verdana" w:hAnsi="Verdana" w:cs="Verdana"/>
          <w:i/>
          <w:iCs/>
          <w:sz w:val="24"/>
          <w:szCs w:val="24"/>
          <w:lang w:val="es-ES" w:eastAsia="es-ES"/>
        </w:rPr>
        <w:t>, para brindar un servicio urbano entre San Isidro del General y los Chiles como parte de las rutas 137 y 185, Denegar la Solicitud del C</w:t>
      </w:r>
      <w:r w:rsidR="0088665C">
        <w:rPr>
          <w:rFonts w:ascii="Verdana" w:hAnsi="Verdana" w:cs="Verdana"/>
          <w:i/>
          <w:iCs/>
          <w:sz w:val="24"/>
          <w:szCs w:val="24"/>
          <w:lang w:val="es-ES" w:eastAsia="es-ES"/>
        </w:rPr>
        <w:t>.D.D.D.I.E.C</w:t>
      </w:r>
      <w:r>
        <w:rPr>
          <w:rFonts w:ascii="Verdana" w:hAnsi="Verdana" w:cs="Verdana"/>
          <w:i/>
          <w:iCs/>
          <w:sz w:val="24"/>
          <w:szCs w:val="24"/>
          <w:lang w:val="es-ES" w:eastAsia="es-ES"/>
        </w:rPr>
        <w:t xml:space="preserve">, para autorizar un nuevo servicio desde San Isidro del General y el Invu El clavel, Otorgar al departamento de Ingeniería del consejo un plazo de 30 días, para que remita a su conocimiento un estudio integral sobre la atención de demanda del servicio en las localidades de las Rosas, Invu El Clavel y los Chiles con relación a la operación de las rutas 140, 137 y 185.. </w:t>
      </w:r>
      <w:r>
        <w:rPr>
          <w:rFonts w:ascii="Verdana" w:hAnsi="Verdana" w:cs="Verdana"/>
          <w:sz w:val="24"/>
          <w:szCs w:val="24"/>
          <w:lang w:val="es-ES" w:eastAsia="es-ES"/>
        </w:rPr>
        <w:t>(Léase folio del 139 al 143 del expediente administrativo).</w:t>
      </w:r>
    </w:p>
    <w:p w:rsidR="0042350F" w:rsidRDefault="00E078D2">
      <w:pPr>
        <w:numPr>
          <w:ilvl w:val="0"/>
          <w:numId w:val="16"/>
        </w:numPr>
        <w:kinsoku w:val="0"/>
        <w:overflowPunct w:val="0"/>
        <w:autoSpaceDE/>
        <w:autoSpaceDN/>
        <w:adjustRightInd/>
        <w:spacing w:before="317" w:after="422" w:line="296"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La Dirección de Asuntos Jurídicos del Consejo de Transporte Público con el fin de dar respuesta al Recurso de Revocatoria planteado por la Recurrente y siendo que sus argumentos versan sobre criterios técnicos del Departamento de Ingeniería del CTP, le solicita a esta oficina, mediante oficio 2013006470 de 12 de diciembre de 2013, que proceda a emitir un criterio técnico sobre los argumentos de la empresa recurrente, lo cual realiza el Departamento de Ingeniería mediante informe DING-2014-1757 de 8 de octubre de 2014, indicando que la recurrente no lleva razón en sus argumentos y que yerros que indilga al</w:t>
      </w:r>
    </w:p>
    <w:p w:rsidR="0042350F" w:rsidRDefault="0042350F">
      <w:pPr>
        <w:widowControl/>
        <w:rPr>
          <w:sz w:val="24"/>
          <w:szCs w:val="24"/>
        </w:rPr>
        <w:sectPr w:rsidR="0042350F">
          <w:pgSz w:w="12134" w:h="15840"/>
          <w:pgMar w:top="1400" w:right="1554" w:bottom="324" w:left="1680" w:header="720" w:footer="720" w:gutter="0"/>
          <w:cols w:space="720"/>
          <w:noEndnote/>
        </w:sectPr>
      </w:pPr>
    </w:p>
    <w:p w:rsidR="0042350F" w:rsidRDefault="0042350F">
      <w:pPr>
        <w:widowControl/>
        <w:rPr>
          <w:sz w:val="24"/>
          <w:szCs w:val="24"/>
        </w:rPr>
        <w:sectPr w:rsidR="0042350F">
          <w:type w:val="continuous"/>
          <w:pgSz w:w="12134" w:h="15840"/>
          <w:pgMar w:top="1400" w:right="1586" w:bottom="324" w:left="8288" w:header="720" w:footer="720" w:gutter="0"/>
          <w:cols w:space="720"/>
          <w:noEndnote/>
        </w:sectPr>
      </w:pPr>
    </w:p>
    <w:p w:rsidR="0042350F" w:rsidRDefault="00E078D2">
      <w:pPr>
        <w:kinsoku w:val="0"/>
        <w:overflowPunct w:val="0"/>
        <w:autoSpaceDE/>
        <w:autoSpaceDN/>
        <w:adjustRightInd/>
        <w:spacing w:before="2"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informe de la Dirección de Ingeniería que sustento el acuerdo impugnado, no son técnicamente acertados y además vuelve a dar toda la justificación técnica del porque de la conclusión a la que se llego. (Léanse folios 22 y del 48 al 65 del expediente administrativo)</w:t>
      </w:r>
    </w:p>
    <w:p w:rsidR="0042350F" w:rsidRDefault="00E078D2">
      <w:pPr>
        <w:numPr>
          <w:ilvl w:val="0"/>
          <w:numId w:val="17"/>
        </w:numPr>
        <w:kinsoku w:val="0"/>
        <w:overflowPunct w:val="0"/>
        <w:autoSpaceDE/>
        <w:autoSpaceDN/>
        <w:adjustRightInd/>
        <w:spacing w:before="1124" w:line="295" w:lineRule="exact"/>
        <w:jc w:val="both"/>
        <w:textAlignment w:val="baseline"/>
        <w:rPr>
          <w:rFonts w:ascii="Verdana" w:hAnsi="Verdana" w:cs="Verdana"/>
          <w:sz w:val="24"/>
          <w:szCs w:val="24"/>
          <w:lang w:val="es-ES" w:eastAsia="es-ES"/>
        </w:rPr>
      </w:pPr>
      <w:r>
        <w:rPr>
          <w:rFonts w:ascii="Verdana" w:hAnsi="Verdana" w:cs="Verdana"/>
          <w:b/>
          <w:bCs/>
          <w:sz w:val="24"/>
          <w:szCs w:val="24"/>
          <w:lang w:val="es-ES" w:eastAsia="es-ES"/>
        </w:rPr>
        <w:t xml:space="preserve">HECHOS NO PROBADOS: </w:t>
      </w:r>
      <w:r>
        <w:rPr>
          <w:rFonts w:ascii="Verdana" w:hAnsi="Verdana" w:cs="Verdana"/>
          <w:sz w:val="24"/>
          <w:szCs w:val="24"/>
          <w:lang w:val="es-ES" w:eastAsia="es-ES"/>
        </w:rPr>
        <w:t>Ninguno de importancia para la resolución del presente asunto.</w:t>
      </w:r>
    </w:p>
    <w:p w:rsidR="0042350F" w:rsidRDefault="00E078D2">
      <w:pPr>
        <w:numPr>
          <w:ilvl w:val="0"/>
          <w:numId w:val="18"/>
        </w:numPr>
        <w:kinsoku w:val="0"/>
        <w:overflowPunct w:val="0"/>
        <w:autoSpaceDE/>
        <w:autoSpaceDN/>
        <w:adjustRightInd/>
        <w:spacing w:before="586" w:line="286" w:lineRule="exact"/>
        <w:jc w:val="both"/>
        <w:textAlignment w:val="baseline"/>
        <w:rPr>
          <w:rFonts w:ascii="Verdana" w:hAnsi="Verdana" w:cs="Verdana"/>
          <w:b/>
          <w:bCs/>
          <w:spacing w:val="-2"/>
          <w:sz w:val="24"/>
          <w:szCs w:val="24"/>
          <w:lang w:val="es-ES" w:eastAsia="es-ES"/>
        </w:rPr>
      </w:pPr>
      <w:r>
        <w:rPr>
          <w:rFonts w:ascii="Verdana" w:hAnsi="Verdana" w:cs="Verdana"/>
          <w:b/>
          <w:bCs/>
          <w:spacing w:val="-2"/>
          <w:sz w:val="24"/>
          <w:szCs w:val="24"/>
          <w:lang w:val="es-ES" w:eastAsia="es-ES"/>
        </w:rPr>
        <w:t>SOBRE EL FONDO</w:t>
      </w:r>
    </w:p>
    <w:p w:rsidR="0042350F" w:rsidRDefault="00E078D2">
      <w:pPr>
        <w:kinsoku w:val="0"/>
        <w:overflowPunct w:val="0"/>
        <w:autoSpaceDE/>
        <w:autoSpaceDN/>
        <w:adjustRightInd/>
        <w:spacing w:before="319" w:line="295" w:lineRule="exact"/>
        <w:jc w:val="both"/>
        <w:textAlignment w:val="baseline"/>
        <w:rPr>
          <w:rFonts w:ascii="Verdana" w:hAnsi="Verdana" w:cs="Verdana"/>
          <w:sz w:val="24"/>
          <w:szCs w:val="24"/>
          <w:lang w:val="es-ES" w:eastAsia="es-ES"/>
        </w:rPr>
      </w:pPr>
      <w:r>
        <w:rPr>
          <w:rFonts w:ascii="Verdana" w:hAnsi="Verdana" w:cs="Verdana"/>
          <w:b/>
          <w:bCs/>
          <w:sz w:val="24"/>
          <w:szCs w:val="24"/>
          <w:lang w:val="es-ES" w:eastAsia="es-ES"/>
        </w:rPr>
        <w:t xml:space="preserve">OBJETO DEL PROCEDIMIENTO. </w:t>
      </w:r>
      <w:r>
        <w:rPr>
          <w:rFonts w:ascii="Verdana" w:hAnsi="Verdana" w:cs="Verdana"/>
          <w:sz w:val="24"/>
          <w:szCs w:val="24"/>
          <w:lang w:val="es-ES" w:eastAsia="es-ES"/>
        </w:rPr>
        <w:t xml:space="preserve">Determinar la presunta ilegalidad del Artículo </w:t>
      </w:r>
      <w:r>
        <w:rPr>
          <w:rFonts w:ascii="Verdana" w:hAnsi="Verdana" w:cs="Verdana"/>
          <w:b/>
          <w:bCs/>
          <w:sz w:val="24"/>
          <w:szCs w:val="24"/>
          <w:lang w:val="es-ES" w:eastAsia="es-ES"/>
        </w:rPr>
        <w:t xml:space="preserve">Artículo 7.38 de la Sesión Ordinaria 78-2013, </w:t>
      </w:r>
      <w:r>
        <w:rPr>
          <w:rFonts w:ascii="Verdana" w:hAnsi="Verdana" w:cs="Verdana"/>
          <w:sz w:val="24"/>
          <w:szCs w:val="24"/>
          <w:lang w:val="es-ES" w:eastAsia="es-ES"/>
        </w:rPr>
        <w:t>celebrada por la Junta Directiva del Consejo de Transporte Público, el 24 de octubre del 2013 y se proceda a su anulación.</w:t>
      </w:r>
    </w:p>
    <w:p w:rsidR="0042350F" w:rsidRDefault="00E078D2">
      <w:pPr>
        <w:kinsoku w:val="0"/>
        <w:overflowPunct w:val="0"/>
        <w:autoSpaceDE/>
        <w:autoSpaceDN/>
        <w:adjustRightInd/>
        <w:spacing w:before="285" w:line="286" w:lineRule="exact"/>
        <w:textAlignment w:val="baseline"/>
        <w:rPr>
          <w:rFonts w:ascii="Verdana" w:hAnsi="Verdana" w:cs="Verdana"/>
          <w:b/>
          <w:bCs/>
          <w:sz w:val="24"/>
          <w:szCs w:val="24"/>
          <w:lang w:val="es-ES" w:eastAsia="es-ES"/>
        </w:rPr>
      </w:pPr>
      <w:r>
        <w:rPr>
          <w:rFonts w:ascii="Verdana" w:hAnsi="Verdana" w:cs="Verdana"/>
          <w:b/>
          <w:bCs/>
          <w:sz w:val="24"/>
          <w:szCs w:val="24"/>
          <w:lang w:val="es-ES" w:eastAsia="es-ES"/>
        </w:rPr>
        <w:t>DE LO ACTUADO POR EL CONSEJO DE TRANSPORTE PÚBLICO.</w:t>
      </w:r>
    </w:p>
    <w:p w:rsidR="0042350F" w:rsidRDefault="00E078D2">
      <w:pPr>
        <w:kinsoku w:val="0"/>
        <w:overflowPunct w:val="0"/>
        <w:autoSpaceDE/>
        <w:autoSpaceDN/>
        <w:adjustRightInd/>
        <w:spacing w:before="322" w:line="295" w:lineRule="exact"/>
        <w:jc w:val="both"/>
        <w:textAlignment w:val="baseline"/>
        <w:rPr>
          <w:rFonts w:ascii="Verdana" w:hAnsi="Verdana" w:cs="Verdana"/>
          <w:i/>
          <w:iCs/>
          <w:sz w:val="24"/>
          <w:szCs w:val="24"/>
          <w:lang w:val="es-ES" w:eastAsia="es-ES"/>
        </w:rPr>
      </w:pPr>
      <w:r>
        <w:rPr>
          <w:rFonts w:ascii="Verdana" w:hAnsi="Verdana" w:cs="Verdana"/>
          <w:sz w:val="24"/>
          <w:szCs w:val="24"/>
          <w:lang w:val="es-ES" w:eastAsia="es-ES"/>
        </w:rPr>
        <w:t xml:space="preserve">Mediante acuerdo 6.5 de la Sesión Ordinaria 79-2012 del 14 de noviembre de 2012, la Junta Directiva del Consejo de Transporte Público determina, </w:t>
      </w:r>
      <w:r>
        <w:rPr>
          <w:rFonts w:ascii="Verdana" w:hAnsi="Verdana" w:cs="Verdana"/>
          <w:i/>
          <w:iCs/>
          <w:sz w:val="24"/>
          <w:szCs w:val="24"/>
          <w:lang w:val="es-ES" w:eastAsia="es-ES"/>
        </w:rPr>
        <w:t>denegar la solicitud planteada por la empresa A</w:t>
      </w:r>
      <w:r w:rsidR="0088665C">
        <w:rPr>
          <w:rFonts w:ascii="Verdana" w:hAnsi="Verdana" w:cs="Verdana"/>
          <w:i/>
          <w:iCs/>
          <w:sz w:val="24"/>
          <w:szCs w:val="24"/>
          <w:lang w:val="es-ES" w:eastAsia="es-ES"/>
        </w:rPr>
        <w:t>.M.</w:t>
      </w:r>
      <w:r>
        <w:rPr>
          <w:rFonts w:ascii="Verdana" w:hAnsi="Verdana" w:cs="Verdana"/>
          <w:i/>
          <w:iCs/>
          <w:sz w:val="24"/>
          <w:szCs w:val="24"/>
          <w:lang w:val="es-ES" w:eastAsia="es-ES"/>
        </w:rPr>
        <w:t>S.A. para modificar el recorrido de la Ruta N° 140 y brindar servicio a las localidades de Invu, El clavel, Las Rosas y los Chiles, denegar la solicitud presentada por el señor G</w:t>
      </w:r>
      <w:r w:rsidR="0088665C">
        <w:rPr>
          <w:rFonts w:ascii="Verdana" w:hAnsi="Verdana" w:cs="Verdana"/>
          <w:i/>
          <w:iCs/>
          <w:sz w:val="24"/>
          <w:szCs w:val="24"/>
          <w:lang w:val="es-ES" w:eastAsia="es-ES"/>
        </w:rPr>
        <w:t>.F.S.</w:t>
      </w:r>
      <w:r>
        <w:rPr>
          <w:rFonts w:ascii="Verdana" w:hAnsi="Verdana" w:cs="Verdana"/>
          <w:i/>
          <w:iCs/>
          <w:sz w:val="24"/>
          <w:szCs w:val="24"/>
          <w:lang w:val="es-ES" w:eastAsia="es-ES"/>
        </w:rPr>
        <w:t>, para brindar un servicio urbano entre San Isidro del General y los Chiles como parte de las rutas 137 y 185, Denegar la Solicitud del C</w:t>
      </w:r>
      <w:r w:rsidR="0088665C">
        <w:rPr>
          <w:rFonts w:ascii="Verdana" w:hAnsi="Verdana" w:cs="Verdana"/>
          <w:i/>
          <w:iCs/>
          <w:sz w:val="24"/>
          <w:szCs w:val="24"/>
          <w:lang w:val="es-ES" w:eastAsia="es-ES"/>
        </w:rPr>
        <w:t>.D.D.D.I.E.C.</w:t>
      </w:r>
      <w:r>
        <w:rPr>
          <w:rFonts w:ascii="Verdana" w:hAnsi="Verdana" w:cs="Verdana"/>
          <w:i/>
          <w:iCs/>
          <w:sz w:val="24"/>
          <w:szCs w:val="24"/>
          <w:lang w:val="es-ES" w:eastAsia="es-ES"/>
        </w:rPr>
        <w:t>, para autorizar un nuevo servicio desde San Isidro del General y el Invu El clavel. Otorgar al departamento de Ingeniería del Consejo un plazo de 30 días, para que remita a su conocimiento un estudio integral sobre la atención de demanda del servicio en las localidades de las Rosas, Invu El Clavel y los Chiles con relación a la operación de las rutas 140, 137 y 185.</w:t>
      </w:r>
    </w:p>
    <w:p w:rsidR="0042350F" w:rsidRDefault="00E078D2">
      <w:pPr>
        <w:kinsoku w:val="0"/>
        <w:overflowPunct w:val="0"/>
        <w:autoSpaceDE/>
        <w:autoSpaceDN/>
        <w:adjustRightInd/>
        <w:spacing w:before="297" w:after="499"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El Departamento de Ingeniería en acato a lo ordenado mediante el a</w:t>
      </w:r>
      <w:r w:rsidR="0088665C">
        <w:rPr>
          <w:rFonts w:ascii="Verdana" w:hAnsi="Verdana" w:cs="Verdana"/>
          <w:sz w:val="24"/>
          <w:szCs w:val="24"/>
          <w:lang w:val="es-ES" w:eastAsia="es-ES"/>
        </w:rPr>
        <w:t>c</w:t>
      </w:r>
      <w:r>
        <w:rPr>
          <w:rFonts w:ascii="Verdana" w:hAnsi="Verdana" w:cs="Verdana"/>
          <w:sz w:val="24"/>
          <w:szCs w:val="24"/>
          <w:lang w:val="es-ES" w:eastAsia="es-ES"/>
        </w:rPr>
        <w:t xml:space="preserve">uerdo de referencia supra emite el informe </w:t>
      </w:r>
      <w:r>
        <w:rPr>
          <w:rFonts w:ascii="Verdana" w:hAnsi="Verdana" w:cs="Verdana"/>
          <w:b/>
          <w:bCs/>
          <w:sz w:val="24"/>
          <w:szCs w:val="24"/>
          <w:lang w:val="es-ES" w:eastAsia="es-ES"/>
        </w:rPr>
        <w:t xml:space="preserve">DING 13-1737, </w:t>
      </w:r>
      <w:r>
        <w:rPr>
          <w:rFonts w:ascii="Verdana" w:hAnsi="Verdana" w:cs="Verdana"/>
          <w:sz w:val="24"/>
          <w:szCs w:val="24"/>
          <w:lang w:val="es-ES" w:eastAsia="es-ES"/>
        </w:rPr>
        <w:t xml:space="preserve">el cual es conocido por La Junta Directiva del Consejo de Transporte Público quien lo acoge y dispone mediante </w:t>
      </w:r>
      <w:r>
        <w:rPr>
          <w:rFonts w:ascii="Verdana" w:hAnsi="Verdana" w:cs="Verdana"/>
          <w:b/>
          <w:bCs/>
          <w:sz w:val="24"/>
          <w:szCs w:val="24"/>
          <w:lang w:val="es-ES" w:eastAsia="es-ES"/>
        </w:rPr>
        <w:t xml:space="preserve">Artículo 7.38 de la Sesión Ordinaria 78-2013, </w:t>
      </w:r>
      <w:r>
        <w:rPr>
          <w:rFonts w:ascii="Verdana" w:hAnsi="Verdana" w:cs="Verdana"/>
          <w:sz w:val="24"/>
          <w:szCs w:val="24"/>
          <w:lang w:val="es-ES" w:eastAsia="es-ES"/>
        </w:rPr>
        <w:t>celebrada por la Junta Directiva del Consejo de Transporte Público, el 24 de octubre del 2013, mantener el sistema operativo autorizado para la ruta N° 140, específicamente en su ramal descrito como San Isidro de El General - Beneficio y viceversa, de acuerdo al</w:t>
      </w:r>
    </w:p>
    <w:p w:rsidR="0042350F" w:rsidRDefault="0042350F">
      <w:pPr>
        <w:widowControl/>
        <w:rPr>
          <w:sz w:val="24"/>
          <w:szCs w:val="24"/>
        </w:rPr>
        <w:sectPr w:rsidR="0042350F">
          <w:pgSz w:w="12134" w:h="15840"/>
          <w:pgMar w:top="1400" w:right="1559" w:bottom="364" w:left="1675" w:header="720" w:footer="720" w:gutter="0"/>
          <w:cols w:space="720"/>
          <w:noEndnote/>
        </w:sectPr>
      </w:pPr>
    </w:p>
    <w:p w:rsidR="0042350F" w:rsidRDefault="0042350F">
      <w:pPr>
        <w:widowControl/>
        <w:rPr>
          <w:sz w:val="24"/>
          <w:szCs w:val="24"/>
        </w:rPr>
        <w:sectPr w:rsidR="0042350F">
          <w:type w:val="continuous"/>
          <w:pgSz w:w="12134" w:h="15840"/>
          <w:pgMar w:top="1400" w:right="1584" w:bottom="364" w:left="8290" w:header="720" w:footer="720" w:gutter="0"/>
          <w:cols w:space="720"/>
          <w:noEndnote/>
        </w:sectPr>
      </w:pPr>
    </w:p>
    <w:p w:rsidR="0042350F" w:rsidRDefault="00E078D2">
      <w:pPr>
        <w:kinsoku w:val="0"/>
        <w:overflowPunct w:val="0"/>
        <w:autoSpaceDE/>
        <w:autoSpaceDN/>
        <w:adjustRightInd/>
        <w:spacing w:before="12"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artículo N° 3.4, de la sesión ordinaria 90-2008, de la Junta Directiva del Consejo de Transporte público, del 09 de diciembre de 2008. Además acuerda autorizar modificaciones en las rutas 137 y 185 Autorizando un nuevo esquema operativo para las Rutas No 137 y 185 descritas por su orden como San Isidro - Los Chiles - Quizarrá y San Isidro - Miraflores y viceversa</w:t>
      </w:r>
    </w:p>
    <w:p w:rsidR="0042350F" w:rsidRDefault="00E078D2">
      <w:pPr>
        <w:kinsoku w:val="0"/>
        <w:overflowPunct w:val="0"/>
        <w:autoSpaceDE/>
        <w:autoSpaceDN/>
        <w:adjustRightInd/>
        <w:spacing w:before="315" w:line="295" w:lineRule="exact"/>
        <w:jc w:val="both"/>
        <w:textAlignment w:val="baseline"/>
        <w:rPr>
          <w:rFonts w:ascii="Verdana" w:hAnsi="Verdana" w:cs="Verdana"/>
          <w:spacing w:val="1"/>
          <w:sz w:val="24"/>
          <w:szCs w:val="24"/>
          <w:lang w:val="es-ES" w:eastAsia="es-ES"/>
        </w:rPr>
      </w:pPr>
      <w:r>
        <w:rPr>
          <w:rFonts w:ascii="Verdana" w:hAnsi="Verdana" w:cs="Verdana"/>
          <w:spacing w:val="1"/>
          <w:sz w:val="24"/>
          <w:szCs w:val="24"/>
          <w:lang w:val="es-ES" w:eastAsia="es-ES"/>
        </w:rPr>
        <w:t>La Dirección de Asuntos Jurídicos del Consejo de Transporte Público con el fin de dar respuesta al Recurso de Revocatoria planteado por la Recurre</w:t>
      </w:r>
      <w:r w:rsidR="0088665C">
        <w:rPr>
          <w:rFonts w:ascii="Verdana" w:hAnsi="Verdana" w:cs="Verdana"/>
          <w:spacing w:val="1"/>
          <w:sz w:val="24"/>
          <w:szCs w:val="24"/>
          <w:lang w:val="es-ES" w:eastAsia="es-ES"/>
        </w:rPr>
        <w:t>n</w:t>
      </w:r>
      <w:r>
        <w:rPr>
          <w:rFonts w:ascii="Verdana" w:hAnsi="Verdana" w:cs="Verdana"/>
          <w:spacing w:val="1"/>
          <w:sz w:val="24"/>
          <w:szCs w:val="24"/>
          <w:lang w:val="es-ES" w:eastAsia="es-ES"/>
        </w:rPr>
        <w:t>te y siendo que sus argumentos versan sobre criterios técnicos del Departamento de Ingeniería del CTP, le solicita a esta oficina, mediante oficio 2013006470 de 12 de diciembre de 2013, que proceda a emitir un criterio técnico sobre los argumentos de la empresa recurrente, lo cual realiza el Departamento de Ingeniería mediante informe DING-2014-1757 de 8 de octubre de 2014, indicando que la recurrente no lleva razón en sus argumentos y que yerros que indilga al informe de la Dirección de Ingeniería que sustentó el acuerdo impugnado, no son técnicamente acertados y además vuelve a dar toda la justificación técnica del porque de la colusión a la que se llego.</w:t>
      </w:r>
    </w:p>
    <w:p w:rsidR="0042350F" w:rsidRDefault="00E078D2" w:rsidP="0088665C">
      <w:pPr>
        <w:kinsoku w:val="0"/>
        <w:overflowPunct w:val="0"/>
        <w:autoSpaceDE/>
        <w:autoSpaceDN/>
        <w:adjustRightInd/>
        <w:spacing w:before="294"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 xml:space="preserve">La Junta Directiva del Consejo de Transporte Público mediante acuerdo 7.2 de la Sesión Ordinaria 03-2015 del 21 de enero de 2015, conoce y aprueba el informe </w:t>
      </w:r>
      <w:r>
        <w:rPr>
          <w:rFonts w:ascii="Verdana" w:hAnsi="Verdana" w:cs="Verdana"/>
          <w:b/>
          <w:bCs/>
          <w:sz w:val="24"/>
          <w:szCs w:val="24"/>
          <w:lang w:val="es-ES" w:eastAsia="es-ES"/>
        </w:rPr>
        <w:t xml:space="preserve">DM-2015000084 del 12 de enero de 2015 </w:t>
      </w:r>
      <w:r>
        <w:rPr>
          <w:rFonts w:ascii="Verdana" w:hAnsi="Verdana" w:cs="Verdana"/>
          <w:sz w:val="24"/>
          <w:szCs w:val="24"/>
          <w:lang w:val="es-ES" w:eastAsia="es-ES"/>
        </w:rPr>
        <w:t>de la</w:t>
      </w:r>
      <w:r w:rsidR="0088665C">
        <w:rPr>
          <w:rFonts w:ascii="Verdana" w:hAnsi="Verdana" w:cs="Verdana"/>
          <w:sz w:val="24"/>
          <w:szCs w:val="24"/>
          <w:lang w:val="es-ES" w:eastAsia="es-ES"/>
        </w:rPr>
        <w:t xml:space="preserve"> </w:t>
      </w:r>
      <w:r>
        <w:rPr>
          <w:rFonts w:ascii="Verdana" w:hAnsi="Verdana" w:cs="Verdana"/>
          <w:sz w:val="24"/>
          <w:szCs w:val="24"/>
          <w:lang w:val="es-ES" w:eastAsia="es-ES"/>
        </w:rPr>
        <w:t>Dirección de Asuntos Jurídicos</w:t>
      </w:r>
      <w:r w:rsidR="0088665C">
        <w:rPr>
          <w:rFonts w:ascii="Verdana" w:hAnsi="Verdana" w:cs="Verdana"/>
          <w:sz w:val="24"/>
          <w:szCs w:val="24"/>
          <w:lang w:val="es-ES" w:eastAsia="es-ES"/>
        </w:rPr>
        <w:t xml:space="preserve"> </w:t>
      </w:r>
      <w:r>
        <w:rPr>
          <w:rFonts w:ascii="Verdana" w:hAnsi="Verdana" w:cs="Verdana"/>
          <w:sz w:val="24"/>
          <w:szCs w:val="24"/>
          <w:lang w:val="es-ES" w:eastAsia="es-ES"/>
        </w:rPr>
        <w:t>y determina en su parte dispositiva</w:t>
      </w:r>
      <w:r>
        <w:rPr>
          <w:rFonts w:ascii="Verdana" w:hAnsi="Verdana" w:cs="Verdana"/>
          <w:sz w:val="24"/>
          <w:szCs w:val="24"/>
          <w:lang w:val="es-ES" w:eastAsia="es-ES"/>
        </w:rPr>
        <w:br/>
        <w:t>rechazar el recurso de revocatoria y la nulidad presentada, ya que contrario a la indicado por la recurrente el acto si se encuentra debidamente motivado, y esa motivación es el informe técnico del departamento de Ingeniería, además dicho estudio si se encuentra sustentado y fundamentado, por lo que el recurso es improcedente.</w:t>
      </w:r>
    </w:p>
    <w:p w:rsidR="0042350F" w:rsidRDefault="00E078D2">
      <w:pPr>
        <w:kinsoku w:val="0"/>
        <w:overflowPunct w:val="0"/>
        <w:autoSpaceDE/>
        <w:autoSpaceDN/>
        <w:adjustRightInd/>
        <w:spacing w:before="285" w:line="295" w:lineRule="exact"/>
        <w:textAlignment w:val="baseline"/>
        <w:rPr>
          <w:rFonts w:ascii="Verdana" w:hAnsi="Verdana" w:cs="Verdana"/>
          <w:b/>
          <w:bCs/>
          <w:sz w:val="24"/>
          <w:szCs w:val="24"/>
          <w:lang w:val="es-ES" w:eastAsia="es-ES"/>
        </w:rPr>
      </w:pPr>
      <w:r>
        <w:rPr>
          <w:rFonts w:ascii="Verdana" w:hAnsi="Verdana" w:cs="Verdana"/>
          <w:b/>
          <w:bCs/>
          <w:sz w:val="24"/>
          <w:szCs w:val="24"/>
          <w:lang w:val="es-ES" w:eastAsia="es-ES"/>
        </w:rPr>
        <w:t>ALEGATOS DEL RECURRENTE.</w:t>
      </w:r>
    </w:p>
    <w:p w:rsidR="0042350F" w:rsidRDefault="00E078D2">
      <w:pPr>
        <w:kinsoku w:val="0"/>
        <w:overflowPunct w:val="0"/>
        <w:autoSpaceDE/>
        <w:autoSpaceDN/>
        <w:adjustRightInd/>
        <w:spacing w:before="315" w:after="431" w:line="295" w:lineRule="exact"/>
        <w:jc w:val="both"/>
        <w:textAlignment w:val="baseline"/>
        <w:rPr>
          <w:rFonts w:ascii="Verdana" w:hAnsi="Verdana" w:cs="Verdana"/>
          <w:spacing w:val="2"/>
          <w:sz w:val="24"/>
          <w:szCs w:val="24"/>
          <w:lang w:val="es-ES" w:eastAsia="es-ES"/>
        </w:rPr>
      </w:pPr>
      <w:r>
        <w:rPr>
          <w:rFonts w:ascii="Verdana" w:hAnsi="Verdana" w:cs="Verdana"/>
          <w:spacing w:val="2"/>
          <w:sz w:val="24"/>
          <w:szCs w:val="24"/>
          <w:lang w:val="es-ES" w:eastAsia="es-ES"/>
        </w:rPr>
        <w:t>La recurrente presenta Recurso de Apelación y Nulidad concomitante contra el acuerdo impugnado e indica que el acuerdo impugnado autoriza horarios a las rutas 137 y 185 por lo que se atenta contra sus intereses, ya que los operadores de dichas rutas están haciendo recorridos no autorizados pues modificaron unilateralmente su recorrido cambiando la salida de y adentrándose en el recorrido de la ruta 140 en el tramo de los Chiles al INVU El Clavel. El informe en el que se sustenta el acuerdo impugnado es contrario a las reglas de la ciencia y la Técnica, omite varios aspecto del cuadro fáctico que circunda la situación que se está dando. Dicho informe se da por lo ordenado por la Junta Directiva mediante acuerdo 6.5 de la Sesión Ordinaria 79-2014, con el fin de realizar un estudio integral y mejorar el servicio para las</w:t>
      </w:r>
    </w:p>
    <w:p w:rsidR="0042350F" w:rsidRDefault="0042350F">
      <w:pPr>
        <w:widowControl/>
        <w:rPr>
          <w:sz w:val="24"/>
          <w:szCs w:val="24"/>
        </w:rPr>
        <w:sectPr w:rsidR="0042350F">
          <w:pgSz w:w="12134" w:h="15840"/>
          <w:pgMar w:top="1400" w:right="1567" w:bottom="344" w:left="1639" w:header="720" w:footer="720" w:gutter="0"/>
          <w:cols w:space="720"/>
          <w:noEndnote/>
        </w:sectPr>
      </w:pPr>
    </w:p>
    <w:p w:rsidR="0042350F" w:rsidRDefault="0042350F">
      <w:pPr>
        <w:widowControl/>
        <w:rPr>
          <w:sz w:val="24"/>
          <w:szCs w:val="24"/>
        </w:rPr>
        <w:sectPr w:rsidR="0042350F">
          <w:type w:val="continuous"/>
          <w:pgSz w:w="12134" w:h="15840"/>
          <w:pgMar w:top="1400" w:right="1622" w:bottom="344" w:left="8252" w:header="720" w:footer="720" w:gutter="0"/>
          <w:cols w:space="720"/>
          <w:noEndnote/>
        </w:sectPr>
      </w:pPr>
    </w:p>
    <w:p w:rsidR="0042350F" w:rsidRDefault="00E078D2" w:rsidP="0088665C">
      <w:pPr>
        <w:kinsoku w:val="0"/>
        <w:overflowPunct w:val="0"/>
        <w:autoSpaceDE/>
        <w:autoSpaceDN/>
        <w:adjustRightInd/>
        <w:spacing w:before="36" w:line="295" w:lineRule="exact"/>
        <w:jc w:val="both"/>
        <w:textAlignment w:val="baseline"/>
        <w:rPr>
          <w:rFonts w:ascii="Verdana" w:hAnsi="Verdana" w:cs="Verdana"/>
          <w:sz w:val="24"/>
          <w:szCs w:val="24"/>
          <w:lang w:val="es-ES" w:eastAsia="es-ES"/>
        </w:rPr>
      </w:pPr>
      <w:r>
        <w:rPr>
          <w:rFonts w:ascii="Verdana" w:hAnsi="Verdana" w:cs="Verdana"/>
          <w:spacing w:val="2"/>
          <w:sz w:val="24"/>
          <w:szCs w:val="24"/>
          <w:lang w:val="es-ES" w:eastAsia="es-ES"/>
        </w:rPr>
        <w:lastRenderedPageBreak/>
        <w:t>comunidades de Las Rosas, el INVU, El Clavel y Los Chiles, dentro de los cuales intervienen las rutas 140, 137 y 185. 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 permite evaluar otros puntos para lograr un estudio integral, tal como se ordena en el acuerdo por el cual se da el estudio. El muestreo se realizó los días 19 y 21 de marzo del 2013 existiendo una serie de inconsistencias en cuanto a la redacción, ya que se argumenta que se realizó un monitoreo en todos los servicios brindados por las rutas 140,137 y 185 (censo), pero posteriormente se indica que se obtuvo una muestra de esos servicios entre las 6 horas y las 19 horas con un nivel de confianza del 95%, lo que deja ver un inadecuado conocimiento de la Estadística utilizada en el estudio. 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 El estudio incrementa de manera inadecuada las carreras que realizan las rutas 137 y la 185, en contra dicho de lo aprobado por el CTP, lo que crea claramente competencia desleal en perjuicio de la ruta 140, a la cual pone en una</w:t>
      </w:r>
      <w:r w:rsidR="0088665C">
        <w:rPr>
          <w:rFonts w:ascii="Verdana" w:hAnsi="Verdana" w:cs="Verdana"/>
          <w:spacing w:val="2"/>
          <w:sz w:val="24"/>
          <w:szCs w:val="24"/>
          <w:lang w:val="es-ES" w:eastAsia="es-ES"/>
        </w:rPr>
        <w:t xml:space="preserve"> </w:t>
      </w:r>
      <w:r>
        <w:rPr>
          <w:rFonts w:ascii="Verdana" w:hAnsi="Verdana" w:cs="Verdana"/>
          <w:sz w:val="24"/>
          <w:szCs w:val="24"/>
          <w:lang w:val="es-ES" w:eastAsia="es-ES"/>
        </w:rPr>
        <w:t>condición de desventaja.</w:t>
      </w:r>
      <w:r>
        <w:rPr>
          <w:rFonts w:ascii="Verdana" w:hAnsi="Verdana" w:cs="Verdana"/>
          <w:sz w:val="24"/>
          <w:szCs w:val="24"/>
          <w:lang w:val="es-ES" w:eastAsia="es-ES"/>
        </w:rPr>
        <w:tab/>
        <w:t>Además considera sorprendente que se</w:t>
      </w:r>
      <w:r>
        <w:rPr>
          <w:rFonts w:ascii="Verdana" w:hAnsi="Verdana" w:cs="Verdana"/>
          <w:sz w:val="24"/>
          <w:szCs w:val="24"/>
          <w:lang w:val="es-ES" w:eastAsia="es-ES"/>
        </w:rPr>
        <w:br/>
        <w:t>aprueben cambios en una ruta que invada de manera clara la zona de acción y operación de la recurrente por el simple hecho de utilizar zonas de vialidad mixta. Las rutas fueron determinadas a partir de una necesidad de servicio de las comunidades de Quizarrá y Miraflores, las cuales no fueron monitoreadas en dicho estudio, sino incorporando demandas no propias de dichas rutas, lo que evidencia un error de interpretación y un daño en el equilibrio financiero de la recurrente. El sumar pasajeros de un área que no pertenece a la zona de exclusividad despoja el derecho a los usuarios de conocer la situación real en las rutas estudiadas. Queda claro del estudio que se hicieron estudios en el corredor común en cuanto a la ruta 185 y 137 pero solo se puede hacer un estudio de demanda propia de cada ruta en aquellas zonas de exclusividad, pues si se bajan dentro del corredor común significa que</w:t>
      </w:r>
      <w:r w:rsidR="0088665C">
        <w:rPr>
          <w:rFonts w:ascii="Verdana" w:hAnsi="Verdana" w:cs="Verdana"/>
          <w:sz w:val="24"/>
          <w:szCs w:val="24"/>
          <w:lang w:val="es-ES" w:eastAsia="es-ES"/>
        </w:rPr>
        <w:t xml:space="preserve"> </w:t>
      </w:r>
      <w:r>
        <w:rPr>
          <w:rFonts w:ascii="Verdana" w:hAnsi="Verdana" w:cs="Verdana"/>
          <w:sz w:val="24"/>
          <w:szCs w:val="24"/>
          <w:lang w:val="es-ES" w:eastAsia="es-ES"/>
        </w:rPr>
        <w:t>no hay exclusividad.</w:t>
      </w:r>
      <w:r>
        <w:rPr>
          <w:rFonts w:ascii="Verdana" w:hAnsi="Verdana" w:cs="Verdana"/>
          <w:sz w:val="24"/>
          <w:szCs w:val="24"/>
          <w:lang w:val="es-ES" w:eastAsia="es-ES"/>
        </w:rPr>
        <w:tab/>
        <w:t>Es clara la intención de favorecer a las rutas 137</w:t>
      </w:r>
      <w:r>
        <w:rPr>
          <w:rFonts w:ascii="Verdana" w:hAnsi="Verdana" w:cs="Verdana"/>
          <w:sz w:val="24"/>
          <w:szCs w:val="24"/>
          <w:lang w:val="es-ES" w:eastAsia="es-ES"/>
        </w:rPr>
        <w:br/>
        <w:t>y 185, de conformidad con el estudio realizado por lo que solicita se declare con lugar el recurso de revocatoria y se anule el acuerdo impugnado.</w:t>
      </w:r>
    </w:p>
    <w:p w:rsidR="0042350F" w:rsidRDefault="0042350F">
      <w:pPr>
        <w:widowControl/>
        <w:rPr>
          <w:sz w:val="24"/>
          <w:szCs w:val="24"/>
        </w:rPr>
        <w:sectPr w:rsidR="0042350F">
          <w:pgSz w:w="12134" w:h="15840"/>
          <w:pgMar w:top="1400" w:right="1572" w:bottom="344" w:left="1634" w:header="720" w:footer="720" w:gutter="0"/>
          <w:cols w:space="720"/>
          <w:noEndnote/>
        </w:sectPr>
      </w:pPr>
    </w:p>
    <w:p w:rsidR="0042350F" w:rsidRDefault="0042350F">
      <w:pPr>
        <w:widowControl/>
        <w:rPr>
          <w:sz w:val="24"/>
          <w:szCs w:val="24"/>
        </w:rPr>
        <w:sectPr w:rsidR="0042350F">
          <w:type w:val="continuous"/>
          <w:pgSz w:w="12134" w:h="15840"/>
          <w:pgMar w:top="1400" w:right="1617" w:bottom="344" w:left="8257" w:header="720" w:footer="720" w:gutter="0"/>
          <w:cols w:space="720"/>
          <w:noEndnote/>
        </w:sectPr>
      </w:pPr>
    </w:p>
    <w:p w:rsidR="0042350F" w:rsidRDefault="00E078D2">
      <w:pPr>
        <w:kinsoku w:val="0"/>
        <w:overflowPunct w:val="0"/>
        <w:autoSpaceDE/>
        <w:autoSpaceDN/>
        <w:adjustRightInd/>
        <w:spacing w:before="4" w:after="398" w:line="296" w:lineRule="exact"/>
        <w:jc w:val="both"/>
        <w:textAlignment w:val="baseline"/>
        <w:rPr>
          <w:rFonts w:ascii="Tahoma" w:hAnsi="Tahoma" w:cs="Tahoma"/>
          <w:spacing w:val="12"/>
          <w:sz w:val="25"/>
          <w:szCs w:val="25"/>
          <w:lang w:val="es-ES" w:eastAsia="es-ES"/>
        </w:rPr>
      </w:pPr>
      <w:r>
        <w:rPr>
          <w:rFonts w:ascii="Tahoma" w:hAnsi="Tahoma" w:cs="Tahoma"/>
          <w:spacing w:val="12"/>
          <w:sz w:val="25"/>
          <w:szCs w:val="25"/>
          <w:lang w:val="es-ES" w:eastAsia="es-ES"/>
        </w:rPr>
        <w:lastRenderedPageBreak/>
        <w:t xml:space="preserve">Ante prevención de este Tribunal Administrativo de fecha 5 de febrero de 2015, la empresa </w:t>
      </w:r>
      <w:r>
        <w:rPr>
          <w:rFonts w:ascii="Tahoma" w:hAnsi="Tahoma" w:cs="Tahoma"/>
          <w:b/>
          <w:bCs/>
          <w:spacing w:val="12"/>
          <w:sz w:val="25"/>
          <w:szCs w:val="25"/>
          <w:lang w:val="es-ES" w:eastAsia="es-ES"/>
        </w:rPr>
        <w:t>A</w:t>
      </w:r>
      <w:r w:rsidR="0088665C">
        <w:rPr>
          <w:rFonts w:ascii="Tahoma" w:hAnsi="Tahoma" w:cs="Tahoma"/>
          <w:b/>
          <w:bCs/>
          <w:spacing w:val="12"/>
          <w:sz w:val="25"/>
          <w:szCs w:val="25"/>
          <w:lang w:val="es-ES" w:eastAsia="es-ES"/>
        </w:rPr>
        <w:t>.M.</w:t>
      </w:r>
      <w:r>
        <w:rPr>
          <w:rFonts w:ascii="Tahoma" w:hAnsi="Tahoma" w:cs="Tahoma"/>
          <w:b/>
          <w:bCs/>
          <w:spacing w:val="12"/>
          <w:sz w:val="25"/>
          <w:szCs w:val="25"/>
          <w:lang w:val="es-ES" w:eastAsia="es-ES"/>
        </w:rPr>
        <w:t>S.A., por medio de su representante H</w:t>
      </w:r>
      <w:r w:rsidR="0088665C">
        <w:rPr>
          <w:rFonts w:ascii="Tahoma" w:hAnsi="Tahoma" w:cs="Tahoma"/>
          <w:b/>
          <w:bCs/>
          <w:spacing w:val="12"/>
          <w:sz w:val="25"/>
          <w:szCs w:val="25"/>
          <w:lang w:val="es-ES" w:eastAsia="es-ES"/>
        </w:rPr>
        <w:t>.B.S.</w:t>
      </w:r>
      <w:r>
        <w:rPr>
          <w:rFonts w:ascii="Tahoma" w:hAnsi="Tahoma" w:cs="Tahoma"/>
          <w:b/>
          <w:bCs/>
          <w:spacing w:val="12"/>
          <w:sz w:val="25"/>
          <w:szCs w:val="25"/>
          <w:lang w:val="es-ES" w:eastAsia="es-ES"/>
        </w:rPr>
        <w:t xml:space="preserve">, </w:t>
      </w:r>
      <w:r>
        <w:rPr>
          <w:rFonts w:ascii="Tahoma" w:hAnsi="Tahoma" w:cs="Tahoma"/>
          <w:spacing w:val="12"/>
          <w:sz w:val="25"/>
          <w:szCs w:val="25"/>
          <w:lang w:val="es-ES" w:eastAsia="es-ES"/>
        </w:rPr>
        <w:t>se apersona a este despacho el 16 de febrero de los corrientes y manifiesta en resumen y en lo que interesa indica que mediante acuerdo 6.5 adoptado por la Junta Directiva del CTP en la Sesión 79-2012 del 14 de noviembre de 2012 se ordena al departamento de Ingeniería del CTP realizar un estudio técnico integral sobre la demanda de servicio público de transporte remunerado de personas en la modalidad de autobuses de la zona de Las Rosas, INVU, El Clavel y Los Chiles y sobre la operación de las rutas 140, 137 y 185 con la finalidad de determinar a quién le corresponde la Atención de la demanda del servicio público en las localidades indicadas. Mediante informe DING-13-1737 del Departamento de Ingeniería y suscrito por el señor Ronny Barrantes Bolandi se indica el 6 de setiembre de 2013, que se rinde en cumplimiento de lo ordenado en acuerdo 6.5 de la Sesión Ordinaria 79</w:t>
      </w:r>
      <w:r>
        <w:rPr>
          <w:rFonts w:ascii="Tahoma" w:hAnsi="Tahoma" w:cs="Tahoma"/>
          <w:spacing w:val="12"/>
          <w:sz w:val="25"/>
          <w:szCs w:val="25"/>
          <w:lang w:val="es-ES" w:eastAsia="es-ES"/>
        </w:rPr>
        <w:softHyphen/>
        <w:t>2012 del 14 de noviembre de 2012. Pero la realidad es que el informe descrito incumple más bien lo ordenado en acuerdo descrito ya que en lugar de realizar un estudio integral sobre la demanda de servicios en las localidades indicadas supra y la operación de las rutas referidas, para determinar a quién le corresponde la atención de las localidades Las Rosas, Invú, El clavel y Los Chiles, lo que se efectúa es un estudio técnico parcial y parcializado de los operadores de las rutas involucradas entre el corredor comprendido entre la localidad de los Chiles y el cruce del colegio pedagógico José Breideroff. El estudio que culmina en el informe DING-13-1737 y que es el sustento del acto 7.38 de la Sesión Ordinaria 78-2013 de 24 de octubre de 2013 es contrario a la técnica y la ciencia y el acto referido carece de la debida motivación. El objeto del recurso que presenta es que se declare la nulidad tanto del informe como del acto referido supra ya que ambos son contrarios a la Legalidad y por adolecer ambos de vicios por falta de fundamentación existiendo una incongruencia evidente entre el motivo, contenido y el fin de ambos actos administrativos. Violentan también el principio de intangibilidad patrimonial y afectan el equilibrio financiero. Ambos actos el acuerdo impugnado y el informe que lo sustenta son absolutamente nulos por carecer de los elementos materiales exigibles para que el acto administrativo sea válido y eficaz, ambos actos lesionan el principio de razonabilidad, por evidenciar una total incoherencia entre el motivo, contenido y el fin. Debían cumplir con lo ordenado en acuerdo 6.5 de la Sesión Ordinaria 79-2012, lo cual significaba realizar un estudio integral sobre la demanda del servicio público en la zona de Las Rosas, Invu, El Clavel y Los Chiles y sobre la operación de las rutas 140, 137 y 185, sin embarco se omite cumplir con estas disposiciones y lo que hace es un estudio parcial y parcializado de las operaciones de las rutas</w:t>
      </w:r>
    </w:p>
    <w:p w:rsidR="0042350F" w:rsidRDefault="0042350F">
      <w:pPr>
        <w:widowControl/>
        <w:rPr>
          <w:sz w:val="24"/>
          <w:szCs w:val="24"/>
        </w:rPr>
        <w:sectPr w:rsidR="0042350F">
          <w:pgSz w:w="12134" w:h="15840"/>
          <w:pgMar w:top="1420" w:right="1526" w:bottom="364" w:left="1680" w:header="720" w:footer="720" w:gutter="0"/>
          <w:cols w:space="720"/>
          <w:noEndnote/>
        </w:sectPr>
      </w:pPr>
    </w:p>
    <w:p w:rsidR="0042350F" w:rsidRDefault="0042350F">
      <w:pPr>
        <w:widowControl/>
        <w:rPr>
          <w:sz w:val="24"/>
          <w:szCs w:val="24"/>
        </w:rPr>
        <w:sectPr w:rsidR="0042350F">
          <w:type w:val="continuous"/>
          <w:pgSz w:w="12134" w:h="15840"/>
          <w:pgMar w:top="1420" w:right="1521" w:bottom="364" w:left="8353" w:header="720" w:footer="720" w:gutter="0"/>
          <w:cols w:space="720"/>
          <w:noEndnote/>
        </w:sectPr>
      </w:pPr>
    </w:p>
    <w:p w:rsidR="0042350F" w:rsidRDefault="00E078D2">
      <w:pPr>
        <w:kinsoku w:val="0"/>
        <w:overflowPunct w:val="0"/>
        <w:autoSpaceDE/>
        <w:autoSpaceDN/>
        <w:adjustRightInd/>
        <w:spacing w:before="30" w:after="436" w:line="295" w:lineRule="exact"/>
        <w:jc w:val="both"/>
        <w:textAlignment w:val="baseline"/>
        <w:rPr>
          <w:rFonts w:ascii="Verdana" w:hAnsi="Verdana" w:cs="Verdana"/>
          <w:spacing w:val="2"/>
          <w:sz w:val="24"/>
          <w:szCs w:val="24"/>
          <w:lang w:val="es-ES" w:eastAsia="es-ES"/>
        </w:rPr>
      </w:pPr>
      <w:r>
        <w:rPr>
          <w:rFonts w:ascii="Verdana" w:hAnsi="Verdana" w:cs="Verdana"/>
          <w:spacing w:val="2"/>
          <w:sz w:val="24"/>
          <w:szCs w:val="24"/>
          <w:lang w:val="es-ES" w:eastAsia="es-ES"/>
        </w:rPr>
        <w:lastRenderedPageBreak/>
        <w:t>involucradas en el corredor comprendido entre la entrada de los Chiles en el cruce con la carretera nacional Número 2 y el cruce donde se encuentra el colegio Pedagógico José Breideroff en los Chiles de Pérez Zeledón, sin determinar a quién le corresponde la atención de la demanda del servicio público a las localidades de reiterada cita, por lo que el informe DING-13-1737 persiguió un fin distinto al que la Administración le indico constituyendo desviación de poder. El informe en el que se sustenta el acuerdo impugnado es contrario a las reglas de la ciencia y la Técnica, omite varios aspectos del cuadro fáctico que circunda la situación que se está dando. Dicho informe se da por lo ordenado por la Junta Directiva mediante acuerdo 6.5 de la Sesión Ordinaria 79-2012, con el fin de realizar un estudio integral y mejorar el servicio para las comunidades de Las Rosas, el INVU, El Clavel y Los Chiles, dentro de los cuales intervienen las rutas 140, 137 y 185. Dicho informe el DING-13-1737 emite recomendaciones a partir de una muestra realizada en el corredor comprendido entre la entrada a la localidad de los Chiles y el Cruce donde se encuentra el Colegio Pedagógico José Breideroff en los Chiles de Pérez Zeledón; la metodología consistió en un punto fijo, por lo que por su naturaleza no permite evaluar otros puntos para lograr un estudio integral, tal como se ordena en el acuerdo por el cual se da el estudio. El muestreo se realizó los días 19 y 21 de marzo del 2013 existiendo una serie de inconsistencias en cuanto a la redacción, ya que se argumenta que se realizó un monitoreo en todos los servicios brindados por las rutas 140,137 y 185 (censo), pero posteriormente se indica que se obtuvo una muestra de esos servicios entre las 6 horas y las 19 horas con un nivel de confianza del 95%, lo que deja ver un inadecuado conocimiento de la Estadística utilizada en el estudio. No se sabe a qué tipo de modelo poblacional se hace referencia en el estudio, pues utiliza dos conceptos distintos como iguales censo y muestra, no se aportan los modelos matemáticos que determinen el nivel de confiabilidad y el tiempo de estudio 3 días es muy poco, además la máxima demanda fue tomada en puntos que no son representativos para el caso de las rutas 137 y 185; además no se utilizó la técnica del subi baja, que permitiera tener datos a nivel de parada respecto al movimiento de los usuarios del servicio. El estudio incrementa de manera inadecuada las carreras que realizan las rutas 137 y la 185, en contra dicho de lo aprobado por el CTP, lo que crea claramente competencia desleal en perjuicio de la ruta 140, a la cual pone en una condición de desventaja. Además considera sorprendente que se aprueben cambios en una ruta que invada de manera clara la zona de acción y operación de la recurrente por el simple hecho de utilizar zonas de vialidad mixta. Las rutas fueron determinadas a partir de una necesidad de servicio de las comunidades de Quizarrá y Miraflores, las cuales no fueron monitoreadas en dicho</w:t>
      </w:r>
    </w:p>
    <w:p w:rsidR="0042350F" w:rsidRDefault="0042350F">
      <w:pPr>
        <w:widowControl/>
        <w:rPr>
          <w:sz w:val="24"/>
          <w:szCs w:val="24"/>
        </w:rPr>
        <w:sectPr w:rsidR="0042350F">
          <w:pgSz w:w="12134" w:h="15840"/>
          <w:pgMar w:top="1400" w:right="1559" w:bottom="364" w:left="1647" w:header="720" w:footer="720" w:gutter="0"/>
          <w:cols w:space="720"/>
          <w:noEndnote/>
        </w:sectPr>
      </w:pPr>
    </w:p>
    <w:p w:rsidR="0042350F" w:rsidRDefault="0042350F">
      <w:pPr>
        <w:widowControl/>
        <w:rPr>
          <w:sz w:val="24"/>
          <w:szCs w:val="24"/>
        </w:rPr>
        <w:sectPr w:rsidR="0042350F">
          <w:type w:val="continuous"/>
          <w:pgSz w:w="12134" w:h="15840"/>
          <w:pgMar w:top="1400" w:right="1586" w:bottom="364" w:left="8288" w:header="720" w:footer="720" w:gutter="0"/>
          <w:cols w:space="720"/>
          <w:noEndnote/>
        </w:sectPr>
      </w:pPr>
    </w:p>
    <w:p w:rsidR="0042350F" w:rsidRDefault="00E078D2" w:rsidP="00E4027F">
      <w:pPr>
        <w:kinsoku w:val="0"/>
        <w:overflowPunct w:val="0"/>
        <w:autoSpaceDE/>
        <w:autoSpaceDN/>
        <w:adjustRightInd/>
        <w:spacing w:before="1" w:line="297"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estudio, sino incorporando demandas no propias de dichas rutas, lo que evidencia un error de interpretación y un daño en el equilibrio financiero de la recurrente. El sumar pasajeros de un área que no pertenece a la zona de exclusividad despoja el derecho a los usuarios de conocer la situación real en las rutas estudiadas. Queda claro del estudio que se hicieron estudios en el corredor común en cuanto a la ruta 185 y 137 pero solo se puede hacer un estudio de demanda propia de cada ruta en aquellas zonas de exclusividad, pues si se bajan dentro del corredor</w:t>
      </w:r>
      <w:r w:rsidR="00E4027F">
        <w:rPr>
          <w:rFonts w:ascii="Verdana" w:hAnsi="Verdana" w:cs="Verdana"/>
          <w:sz w:val="24"/>
          <w:szCs w:val="24"/>
          <w:lang w:val="es-ES" w:eastAsia="es-ES"/>
        </w:rPr>
        <w:t xml:space="preserve"> </w:t>
      </w:r>
      <w:r>
        <w:rPr>
          <w:rFonts w:ascii="Verdana" w:hAnsi="Verdana" w:cs="Verdana"/>
          <w:sz w:val="24"/>
          <w:szCs w:val="24"/>
          <w:lang w:val="es-ES" w:eastAsia="es-ES"/>
        </w:rPr>
        <w:t>común significa que no hay exclusividad.</w:t>
      </w:r>
      <w:r>
        <w:rPr>
          <w:rFonts w:ascii="Verdana" w:hAnsi="Verdana" w:cs="Verdana"/>
          <w:sz w:val="24"/>
          <w:szCs w:val="24"/>
          <w:lang w:val="es-ES" w:eastAsia="es-ES"/>
        </w:rPr>
        <w:tab/>
        <w:t>Es clara la intención de</w:t>
      </w:r>
      <w:r>
        <w:rPr>
          <w:rFonts w:ascii="Verdana" w:hAnsi="Verdana" w:cs="Verdana"/>
          <w:sz w:val="24"/>
          <w:szCs w:val="24"/>
          <w:lang w:val="es-ES" w:eastAsia="es-ES"/>
        </w:rPr>
        <w:br/>
        <w:t>favorecer a las rutas 137 y 185, de conformidad con el estudio realizado por lo que solicita se declare con lugar el recurso de revocatoria y se anule el acuerdo impugnado.</w:t>
      </w:r>
    </w:p>
    <w:p w:rsidR="0042350F" w:rsidRDefault="00E078D2">
      <w:pPr>
        <w:kinsoku w:val="0"/>
        <w:overflowPunct w:val="0"/>
        <w:autoSpaceDE/>
        <w:autoSpaceDN/>
        <w:adjustRightInd/>
        <w:spacing w:before="284" w:line="301" w:lineRule="exact"/>
        <w:textAlignment w:val="baseline"/>
        <w:rPr>
          <w:rFonts w:ascii="Verdana" w:hAnsi="Verdana" w:cs="Verdana"/>
          <w:b/>
          <w:bCs/>
          <w:sz w:val="24"/>
          <w:szCs w:val="24"/>
          <w:lang w:val="es-ES" w:eastAsia="es-ES"/>
        </w:rPr>
      </w:pPr>
      <w:r>
        <w:rPr>
          <w:rFonts w:ascii="Verdana" w:hAnsi="Verdana" w:cs="Verdana"/>
          <w:b/>
          <w:bCs/>
          <w:sz w:val="24"/>
          <w:szCs w:val="24"/>
          <w:lang w:val="es-ES" w:eastAsia="es-ES"/>
        </w:rPr>
        <w:t>DE LAS POTESTADES DEL CONSEJO DE TRANSPORTE PÚBLICO.</w:t>
      </w:r>
    </w:p>
    <w:p w:rsidR="0042350F" w:rsidRDefault="00E078D2">
      <w:pPr>
        <w:kinsoku w:val="0"/>
        <w:overflowPunct w:val="0"/>
        <w:autoSpaceDE/>
        <w:autoSpaceDN/>
        <w:adjustRightInd/>
        <w:spacing w:before="284" w:line="297" w:lineRule="exact"/>
        <w:jc w:val="both"/>
        <w:textAlignment w:val="baseline"/>
        <w:rPr>
          <w:rFonts w:ascii="Verdana" w:hAnsi="Verdana" w:cs="Verdana"/>
          <w:spacing w:val="2"/>
          <w:sz w:val="24"/>
          <w:szCs w:val="24"/>
          <w:lang w:val="es-ES" w:eastAsia="es-ES"/>
        </w:rPr>
      </w:pPr>
      <w:r>
        <w:rPr>
          <w:rFonts w:ascii="Verdana" w:hAnsi="Verdana" w:cs="Verdana"/>
          <w:spacing w:val="2"/>
          <w:sz w:val="24"/>
          <w:szCs w:val="24"/>
          <w:lang w:val="es-ES" w:eastAsia="es-ES"/>
        </w:rPr>
        <w:t>El Transporte Remunerado de Personas, es un servicio público, regulado, controlado y vigilado por el Estado, el cual mediante la figura de la concesión o del permiso en casos especiales, autoriza a los particulares, la prestación de dicha actividad, de manera que esos particulares se encuentran sujetos a lo que disponga o les autorice la Administración, en el caso particular el Consejo de Transporte Público, en el marco de su competencia.</w:t>
      </w:r>
    </w:p>
    <w:p w:rsidR="0042350F" w:rsidRDefault="00E078D2">
      <w:pPr>
        <w:kinsoku w:val="0"/>
        <w:overflowPunct w:val="0"/>
        <w:autoSpaceDE/>
        <w:autoSpaceDN/>
        <w:adjustRightInd/>
        <w:spacing w:before="296" w:line="297"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El artículo 2 de la Ley Reguladora del Transporte Remunerado de Personas en Vehículos Automotores, del 10 de mayo de 1965, Ley 3503, establece:</w:t>
      </w:r>
    </w:p>
    <w:p w:rsidR="0042350F" w:rsidRDefault="00E078D2" w:rsidP="00E4027F">
      <w:pPr>
        <w:kinsoku w:val="0"/>
        <w:overflowPunct w:val="0"/>
        <w:autoSpaceDE/>
        <w:autoSpaceDN/>
        <w:adjustRightInd/>
        <w:spacing w:before="303" w:line="246" w:lineRule="exact"/>
        <w:ind w:left="576" w:right="576"/>
        <w:jc w:val="both"/>
        <w:textAlignment w:val="baseline"/>
        <w:rPr>
          <w:rFonts w:ascii="Verdana" w:hAnsi="Verdana" w:cs="Verdana"/>
          <w:lang w:val="es-ES" w:eastAsia="es-ES"/>
        </w:rPr>
      </w:pPr>
      <w:r>
        <w:rPr>
          <w:rFonts w:ascii="Verdana" w:hAnsi="Verdana" w:cs="Verdana"/>
          <w:b/>
          <w:bCs/>
          <w:i/>
          <w:iCs/>
          <w:lang w:val="es-ES" w:eastAsia="es-ES"/>
        </w:rPr>
        <w:t>"Es competencia del Ministerio de Obras Públicas y Transportes lo relativo al Tránsito y Transporte automotor de personas en el</w:t>
      </w:r>
      <w:r w:rsidR="00E4027F">
        <w:rPr>
          <w:rFonts w:ascii="Verdana" w:hAnsi="Verdana" w:cs="Verdana"/>
          <w:b/>
          <w:bCs/>
          <w:i/>
          <w:iCs/>
          <w:lang w:val="es-ES" w:eastAsia="es-ES"/>
        </w:rPr>
        <w:t xml:space="preserve"> </w:t>
      </w:r>
      <w:r>
        <w:rPr>
          <w:rFonts w:ascii="Verdana" w:hAnsi="Verdana" w:cs="Verdana"/>
          <w:b/>
          <w:bCs/>
          <w:i/>
          <w:iCs/>
          <w:lang w:val="es-ES" w:eastAsia="es-ES"/>
        </w:rPr>
        <w:t>país</w:t>
      </w:r>
      <w:r w:rsidR="00E4027F">
        <w:rPr>
          <w:rFonts w:ascii="Verdana" w:hAnsi="Verdana" w:cs="Verdana"/>
          <w:b/>
          <w:bCs/>
          <w:i/>
          <w:iCs/>
          <w:lang w:val="es-ES" w:eastAsia="es-ES"/>
        </w:rPr>
        <w:t>…..</w:t>
      </w:r>
      <w:r>
        <w:rPr>
          <w:rFonts w:ascii="Verdana" w:hAnsi="Verdana" w:cs="Verdana"/>
          <w:b/>
          <w:bCs/>
          <w:i/>
          <w:iCs/>
          <w:lang w:val="es-ES" w:eastAsia="es-ES"/>
        </w:rPr>
        <w:tab/>
        <w:t xml:space="preserve">" </w:t>
      </w:r>
      <w:r>
        <w:rPr>
          <w:rFonts w:ascii="Verdana" w:hAnsi="Verdana" w:cs="Verdana"/>
          <w:lang w:val="es-ES" w:eastAsia="es-ES"/>
        </w:rPr>
        <w:t>(De conformidad con la Ley 7969, debe entenderse Consejo de Transporte Público)</w:t>
      </w:r>
    </w:p>
    <w:p w:rsidR="0042350F" w:rsidRDefault="00E078D2">
      <w:pPr>
        <w:kinsoku w:val="0"/>
        <w:overflowPunct w:val="0"/>
        <w:autoSpaceDE/>
        <w:autoSpaceDN/>
        <w:adjustRightInd/>
        <w:spacing w:before="258" w:line="297"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Ley Reguladora del Servicio Público de Transporte Remunerado de Personas en Vehículos en la Modalidad de Taxi, N. 7969</w:t>
      </w:r>
    </w:p>
    <w:p w:rsidR="0042350F" w:rsidRDefault="00E078D2">
      <w:pPr>
        <w:kinsoku w:val="0"/>
        <w:overflowPunct w:val="0"/>
        <w:autoSpaceDE/>
        <w:autoSpaceDN/>
        <w:adjustRightInd/>
        <w:spacing w:before="274" w:line="290" w:lineRule="exact"/>
        <w:ind w:left="576"/>
        <w:textAlignment w:val="baseline"/>
        <w:rPr>
          <w:rFonts w:ascii="Verdana" w:hAnsi="Verdana" w:cs="Verdana"/>
          <w:i/>
          <w:iCs/>
          <w:spacing w:val="-10"/>
          <w:sz w:val="24"/>
          <w:szCs w:val="24"/>
          <w:lang w:val="es-ES" w:eastAsia="es-ES"/>
        </w:rPr>
      </w:pPr>
      <w:r>
        <w:rPr>
          <w:rFonts w:ascii="Verdana" w:hAnsi="Verdana" w:cs="Verdana"/>
          <w:i/>
          <w:iCs/>
          <w:spacing w:val="-10"/>
          <w:sz w:val="24"/>
          <w:szCs w:val="24"/>
          <w:lang w:val="es-ES" w:eastAsia="es-ES"/>
        </w:rPr>
        <w:t>"ARTÍCULO 7.- Atribuciones del Consejo</w:t>
      </w:r>
    </w:p>
    <w:p w:rsidR="0042350F" w:rsidRDefault="00E078D2">
      <w:pPr>
        <w:kinsoku w:val="0"/>
        <w:overflowPunct w:val="0"/>
        <w:autoSpaceDE/>
        <w:autoSpaceDN/>
        <w:adjustRightInd/>
        <w:spacing w:before="281" w:line="273" w:lineRule="exact"/>
        <w:ind w:left="576" w:right="576"/>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t>El Consejo, en el ejercicio de sus competencias, tendrá las siguientes atribuciones:</w:t>
      </w:r>
    </w:p>
    <w:p w:rsidR="0042350F" w:rsidRDefault="00E078D2">
      <w:pPr>
        <w:kinsoku w:val="0"/>
        <w:overflowPunct w:val="0"/>
        <w:autoSpaceDE/>
        <w:autoSpaceDN/>
        <w:adjustRightInd/>
        <w:spacing w:before="275" w:after="849" w:line="274" w:lineRule="exact"/>
        <w:ind w:left="576" w:right="576"/>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t>a) Coordinar la aplicación correcta de las políticas de transporte público, su planeamiento, la revisión técnica, el otorgamiento y la administración de las concesiones, así como la regulación de los permisos que legalmente procedan.</w:t>
      </w:r>
    </w:p>
    <w:p w:rsidR="0042350F" w:rsidRDefault="0042350F">
      <w:pPr>
        <w:widowControl/>
        <w:rPr>
          <w:sz w:val="24"/>
          <w:szCs w:val="24"/>
        </w:rPr>
        <w:sectPr w:rsidR="0042350F">
          <w:pgSz w:w="12134" w:h="15840"/>
          <w:pgMar w:top="1420" w:right="1550" w:bottom="344" w:left="1656" w:header="720" w:footer="720" w:gutter="0"/>
          <w:cols w:space="720"/>
          <w:noEndnote/>
        </w:sectPr>
      </w:pPr>
    </w:p>
    <w:p w:rsidR="0042350F" w:rsidRDefault="0042350F">
      <w:pPr>
        <w:widowControl/>
        <w:rPr>
          <w:sz w:val="24"/>
          <w:szCs w:val="24"/>
        </w:rPr>
        <w:sectPr w:rsidR="0042350F">
          <w:type w:val="continuous"/>
          <w:pgSz w:w="12134" w:h="15840"/>
          <w:pgMar w:top="1420" w:right="1567" w:bottom="344" w:left="8307" w:header="720" w:footer="720" w:gutter="0"/>
          <w:cols w:space="720"/>
          <w:noEndnote/>
        </w:sectPr>
      </w:pPr>
    </w:p>
    <w:p w:rsidR="0042350F" w:rsidRDefault="00E078D2">
      <w:pPr>
        <w:numPr>
          <w:ilvl w:val="0"/>
          <w:numId w:val="19"/>
        </w:numPr>
        <w:kinsoku w:val="0"/>
        <w:overflowPunct w:val="0"/>
        <w:autoSpaceDE/>
        <w:autoSpaceDN/>
        <w:adjustRightInd/>
        <w:spacing w:before="89" w:line="268" w:lineRule="exact"/>
        <w:ind w:right="576"/>
        <w:jc w:val="both"/>
        <w:textAlignment w:val="baseline"/>
        <w:rPr>
          <w:rFonts w:ascii="Verdana" w:hAnsi="Verdana" w:cs="Verdana"/>
          <w:i/>
          <w:iCs/>
          <w:sz w:val="21"/>
          <w:szCs w:val="21"/>
          <w:lang w:val="es-ES" w:eastAsia="es-ES"/>
        </w:rPr>
      </w:pPr>
      <w:r>
        <w:rPr>
          <w:rFonts w:ascii="Arial Narrow" w:hAnsi="Arial Narrow" w:cs="Arial Narrow"/>
          <w:i/>
          <w:iCs/>
          <w:sz w:val="21"/>
          <w:szCs w:val="21"/>
          <w:vertAlign w:val="superscript"/>
          <w:lang w:val="es-ES" w:eastAsia="es-ES"/>
        </w:rPr>
        <w:lastRenderedPageBreak/>
        <w:t>-</w:t>
      </w:r>
      <w:r>
        <w:rPr>
          <w:rFonts w:ascii="Verdana" w:hAnsi="Verdana" w:cs="Verdana"/>
          <w:i/>
          <w:iCs/>
          <w:sz w:val="21"/>
          <w:szCs w:val="21"/>
          <w:lang w:val="es-ES" w:eastAsia="es-ES"/>
        </w:rPr>
        <w:t>Estudiar y emitir opinión sobre los asuntos sometidos a su conocimiento por cualquier dependencia o institución involucrada en servicios de transporte público, planeamiento, revisión técnica, administración y otorgamiento de concesiones y permisos.</w:t>
      </w:r>
    </w:p>
    <w:p w:rsidR="0042350F" w:rsidRDefault="00E078D2">
      <w:pPr>
        <w:numPr>
          <w:ilvl w:val="0"/>
          <w:numId w:val="20"/>
        </w:numPr>
        <w:kinsoku w:val="0"/>
        <w:overflowPunct w:val="0"/>
        <w:autoSpaceDE/>
        <w:autoSpaceDN/>
        <w:adjustRightInd/>
        <w:spacing w:before="278" w:line="272" w:lineRule="exact"/>
        <w:ind w:right="576"/>
        <w:jc w:val="both"/>
        <w:textAlignment w:val="baseline"/>
        <w:rPr>
          <w:rFonts w:ascii="Verdana" w:hAnsi="Verdana" w:cs="Verdana"/>
          <w:i/>
          <w:iCs/>
          <w:sz w:val="21"/>
          <w:szCs w:val="21"/>
          <w:lang w:val="es-ES" w:eastAsia="es-ES"/>
        </w:rPr>
      </w:pPr>
      <w:r>
        <w:rPr>
          <w:rFonts w:ascii="Verdana" w:hAnsi="Verdana" w:cs="Verdana"/>
          <w:i/>
          <w:iCs/>
          <w:sz w:val="21"/>
          <w:szCs w:val="21"/>
          <w:lang w:val="es-ES" w:eastAsia="es-ES"/>
        </w:rPr>
        <w:t>Servir como órgano que efectivamente facilite, en razón de su ejecutividad, la coordinación interinstitucional entre las dependencias del Poder Ejecutivo, el sector empresarial, los usuarios y los clientes de los servicios de transporte público, los organismos internacionales y otras entidades públicas o privadas que en su gestión se relacionen con los servicios regulados en esta ley.</w:t>
      </w:r>
    </w:p>
    <w:p w:rsidR="0042350F" w:rsidRDefault="00E078D2">
      <w:pPr>
        <w:numPr>
          <w:ilvl w:val="0"/>
          <w:numId w:val="20"/>
        </w:numPr>
        <w:kinsoku w:val="0"/>
        <w:overflowPunct w:val="0"/>
        <w:autoSpaceDE/>
        <w:autoSpaceDN/>
        <w:adjustRightInd/>
        <w:spacing w:before="279" w:line="270" w:lineRule="exact"/>
        <w:ind w:right="576"/>
        <w:jc w:val="both"/>
        <w:textAlignment w:val="baseline"/>
        <w:rPr>
          <w:rFonts w:ascii="Verdana" w:hAnsi="Verdana" w:cs="Verdana"/>
          <w:i/>
          <w:iCs/>
          <w:spacing w:val="5"/>
          <w:sz w:val="21"/>
          <w:szCs w:val="21"/>
          <w:lang w:val="es-ES" w:eastAsia="es-ES"/>
        </w:rPr>
      </w:pPr>
      <w:r>
        <w:rPr>
          <w:rFonts w:ascii="Verdana" w:hAnsi="Verdana" w:cs="Verdana"/>
          <w:i/>
          <w:iCs/>
          <w:spacing w:val="5"/>
          <w:sz w:val="21"/>
          <w:szCs w:val="21"/>
          <w:lang w:val="es-ES" w:eastAsia="es-ES"/>
        </w:rPr>
        <w:t>Establecer y recomendar normas, procedimientos y acciones que puedan mejorar las políticas y directrices en materia de transporte público, planeamiento, revisión técnica, administración y otorgamiento de concesiones y permisos.</w:t>
      </w:r>
    </w:p>
    <w:p w:rsidR="0042350F" w:rsidRDefault="00E078D2">
      <w:pPr>
        <w:numPr>
          <w:ilvl w:val="0"/>
          <w:numId w:val="20"/>
        </w:numPr>
        <w:kinsoku w:val="0"/>
        <w:overflowPunct w:val="0"/>
        <w:autoSpaceDE/>
        <w:autoSpaceDN/>
        <w:adjustRightInd/>
        <w:spacing w:before="284" w:line="271" w:lineRule="exact"/>
        <w:ind w:right="576"/>
        <w:jc w:val="both"/>
        <w:textAlignment w:val="baseline"/>
        <w:rPr>
          <w:rFonts w:ascii="Verdana" w:hAnsi="Verdana" w:cs="Verdana"/>
          <w:i/>
          <w:iCs/>
          <w:spacing w:val="6"/>
          <w:sz w:val="21"/>
          <w:szCs w:val="21"/>
          <w:lang w:val="es-ES" w:eastAsia="es-ES"/>
        </w:rPr>
      </w:pPr>
      <w:r>
        <w:rPr>
          <w:rFonts w:ascii="Verdana" w:hAnsi="Verdana" w:cs="Verdana"/>
          <w:i/>
          <w:iCs/>
          <w:spacing w:val="6"/>
          <w:sz w:val="21"/>
          <w:szCs w:val="21"/>
          <w:lang w:val="es-ES" w:eastAsia="es-ES"/>
        </w:rPr>
        <w:t>Velar porque la actividad del transporte público, su planeamiento, la revisión técnica, la administración y el otorgamiento de concesiones, sus sistemas operacionales y el equipamiento requerido, sean acordes con los sistemas tecnológicos más modernos para velar por la calidad de los servicios requeridos por el desarrollo del transporte público nacional e internacional.</w:t>
      </w:r>
    </w:p>
    <w:p w:rsidR="0042350F" w:rsidRDefault="00E078D2">
      <w:pPr>
        <w:numPr>
          <w:ilvl w:val="0"/>
          <w:numId w:val="20"/>
        </w:numPr>
        <w:kinsoku w:val="0"/>
        <w:overflowPunct w:val="0"/>
        <w:autoSpaceDE/>
        <w:autoSpaceDN/>
        <w:adjustRightInd/>
        <w:spacing w:before="284" w:line="271" w:lineRule="exact"/>
        <w:ind w:right="576"/>
        <w:jc w:val="both"/>
        <w:textAlignment w:val="baseline"/>
        <w:rPr>
          <w:rFonts w:ascii="Verdana" w:hAnsi="Verdana" w:cs="Verdana"/>
          <w:i/>
          <w:iCs/>
          <w:sz w:val="21"/>
          <w:szCs w:val="21"/>
          <w:lang w:val="es-ES" w:eastAsia="es-ES"/>
        </w:rPr>
      </w:pPr>
      <w:r>
        <w:rPr>
          <w:rFonts w:ascii="Verdana" w:hAnsi="Verdana" w:cs="Verdana"/>
          <w:i/>
          <w:iCs/>
          <w:sz w:val="21"/>
          <w:szCs w:val="21"/>
          <w:lang w:val="es-ES" w:eastAsia="es-ES"/>
        </w:rPr>
        <w:t>Conocer, tramitar y resolver, de oficio o a instancia de parte, las denuncias referentes a los comportamientos activos y omisos que violen las normas de la legislación del transporte público o amenacen con violarlas.</w:t>
      </w:r>
    </w:p>
    <w:p w:rsidR="0042350F" w:rsidRDefault="00E078D2">
      <w:pPr>
        <w:numPr>
          <w:ilvl w:val="0"/>
          <w:numId w:val="20"/>
        </w:numPr>
        <w:kinsoku w:val="0"/>
        <w:overflowPunct w:val="0"/>
        <w:autoSpaceDE/>
        <w:autoSpaceDN/>
        <w:adjustRightInd/>
        <w:spacing w:before="283" w:line="269" w:lineRule="exact"/>
        <w:ind w:right="576"/>
        <w:jc w:val="both"/>
        <w:textAlignment w:val="baseline"/>
        <w:rPr>
          <w:rFonts w:ascii="Verdana" w:hAnsi="Verdana" w:cs="Verdana"/>
          <w:i/>
          <w:iCs/>
          <w:sz w:val="21"/>
          <w:szCs w:val="21"/>
          <w:lang w:val="es-ES" w:eastAsia="es-ES"/>
        </w:rPr>
      </w:pPr>
      <w:r>
        <w:rPr>
          <w:rFonts w:ascii="Verdana" w:hAnsi="Verdana" w:cs="Verdana"/>
          <w:i/>
          <w:iCs/>
          <w:sz w:val="21"/>
          <w:szCs w:val="21"/>
          <w:lang w:val="es-ES" w:eastAsia="es-ES"/>
        </w:rPr>
        <w:t>Preparar un plan estratégico cuyo objetivo esencial sea organizar, legal, técnica y administrativamente, el funcionamiento de un plan de desarrollo tecnológico en materia de transporte público.</w:t>
      </w:r>
    </w:p>
    <w:p w:rsidR="0042350F" w:rsidRDefault="00E078D2">
      <w:pPr>
        <w:numPr>
          <w:ilvl w:val="0"/>
          <w:numId w:val="20"/>
        </w:numPr>
        <w:kinsoku w:val="0"/>
        <w:overflowPunct w:val="0"/>
        <w:autoSpaceDE/>
        <w:autoSpaceDN/>
        <w:adjustRightInd/>
        <w:spacing w:before="282" w:line="274" w:lineRule="exact"/>
        <w:ind w:right="576"/>
        <w:jc w:val="both"/>
        <w:textAlignment w:val="baseline"/>
        <w:rPr>
          <w:rFonts w:ascii="Verdana" w:hAnsi="Verdana" w:cs="Verdana"/>
          <w:i/>
          <w:iCs/>
          <w:sz w:val="21"/>
          <w:szCs w:val="21"/>
          <w:lang w:val="es-ES" w:eastAsia="es-ES"/>
        </w:rPr>
      </w:pPr>
      <w:r>
        <w:rPr>
          <w:rFonts w:ascii="Verdana" w:hAnsi="Verdana" w:cs="Verdana"/>
          <w:i/>
          <w:iCs/>
          <w:sz w:val="21"/>
          <w:szCs w:val="21"/>
          <w:lang w:val="es-ES" w:eastAsia="es-ES"/>
        </w:rPr>
        <w:t>Promover el desarrollo y la capacitación del recurso humano involucrado en la actividad, en concordancia con los requerimientos de un sistema moderno de transporte público.</w:t>
      </w:r>
    </w:p>
    <w:p w:rsidR="0042350F" w:rsidRDefault="00E078D2">
      <w:pPr>
        <w:numPr>
          <w:ilvl w:val="0"/>
          <w:numId w:val="20"/>
        </w:numPr>
        <w:kinsoku w:val="0"/>
        <w:overflowPunct w:val="0"/>
        <w:autoSpaceDE/>
        <w:autoSpaceDN/>
        <w:adjustRightInd/>
        <w:spacing w:before="282" w:line="274" w:lineRule="exact"/>
        <w:jc w:val="both"/>
        <w:textAlignment w:val="baseline"/>
        <w:rPr>
          <w:rFonts w:ascii="Verdana" w:hAnsi="Verdana" w:cs="Verdana"/>
          <w:i/>
          <w:iCs/>
          <w:spacing w:val="3"/>
          <w:sz w:val="21"/>
          <w:szCs w:val="21"/>
          <w:lang w:val="es-ES" w:eastAsia="es-ES"/>
        </w:rPr>
      </w:pPr>
      <w:r>
        <w:rPr>
          <w:rFonts w:ascii="Verdana" w:hAnsi="Verdana" w:cs="Verdana"/>
          <w:i/>
          <w:iCs/>
          <w:spacing w:val="3"/>
          <w:sz w:val="21"/>
          <w:szCs w:val="21"/>
          <w:lang w:val="es-ES" w:eastAsia="es-ES"/>
        </w:rPr>
        <w:t>Fijar las paradas terminales e intermedias de todos los servicios</w:t>
      </w:r>
    </w:p>
    <w:p w:rsidR="0042350F" w:rsidRDefault="00E078D2">
      <w:pPr>
        <w:kinsoku w:val="0"/>
        <w:overflowPunct w:val="0"/>
        <w:autoSpaceDE/>
        <w:autoSpaceDN/>
        <w:adjustRightInd/>
        <w:spacing w:before="863" w:line="296" w:lineRule="exact"/>
        <w:jc w:val="both"/>
        <w:textAlignment w:val="baseline"/>
        <w:rPr>
          <w:rFonts w:ascii="Verdana" w:hAnsi="Verdana" w:cs="Verdana"/>
          <w:b/>
          <w:bCs/>
          <w:sz w:val="24"/>
          <w:szCs w:val="24"/>
          <w:lang w:val="es-ES" w:eastAsia="es-ES"/>
        </w:rPr>
      </w:pPr>
      <w:r>
        <w:rPr>
          <w:rFonts w:ascii="Verdana" w:hAnsi="Verdana" w:cs="Verdana"/>
          <w:b/>
          <w:bCs/>
          <w:sz w:val="24"/>
          <w:szCs w:val="24"/>
          <w:lang w:val="es-ES" w:eastAsia="es-ES"/>
        </w:rPr>
        <w:t>DE LA SUJECIÓN DE LOS ACTOS ADMINISTRATIVOS A LOS CRITERIOS DE LA TÉCNICA, LA CIENCIA Y LA LÓGICA.</w:t>
      </w:r>
    </w:p>
    <w:p w:rsidR="0042350F" w:rsidRDefault="00E078D2">
      <w:pPr>
        <w:kinsoku w:val="0"/>
        <w:overflowPunct w:val="0"/>
        <w:autoSpaceDE/>
        <w:autoSpaceDN/>
        <w:adjustRightInd/>
        <w:spacing w:before="311" w:line="293"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Es un principio general de Derecho, que la Administración Pública en ningún supuesto puede adoptar actos contrarios a las reglas unívocas de la ciencia, la técnica, la justicia, la lógica o la conveniencia, lo cual a</w:t>
      </w:r>
    </w:p>
    <w:p w:rsidR="0042350F" w:rsidRDefault="0042350F">
      <w:pPr>
        <w:widowControl/>
        <w:rPr>
          <w:sz w:val="24"/>
          <w:szCs w:val="24"/>
        </w:rPr>
        <w:sectPr w:rsidR="0042350F">
          <w:pgSz w:w="12134" w:h="15840"/>
          <w:pgMar w:top="1340" w:right="1530" w:bottom="364" w:left="1676" w:header="720" w:footer="720" w:gutter="0"/>
          <w:cols w:space="720"/>
          <w:noEndnote/>
        </w:sectPr>
      </w:pPr>
    </w:p>
    <w:p w:rsidR="0042350F" w:rsidRDefault="00E078D2">
      <w:pPr>
        <w:kinsoku w:val="0"/>
        <w:overflowPunct w:val="0"/>
        <w:autoSpaceDE/>
        <w:autoSpaceDN/>
        <w:adjustRightInd/>
        <w:spacing w:before="12"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su vez tienen como referencia la razonabilidad y la proporcionalidad como 13.rámetro de legalidad.</w:t>
      </w:r>
    </w:p>
    <w:p w:rsidR="0042350F" w:rsidRDefault="00E078D2">
      <w:pPr>
        <w:kinsoku w:val="0"/>
        <w:overflowPunct w:val="0"/>
        <w:autoSpaceDE/>
        <w:autoSpaceDN/>
        <w:adjustRightInd/>
        <w:spacing w:before="289" w:line="301"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 xml:space="preserve">La Ley General de la Administración Pública </w:t>
      </w:r>
      <w:r>
        <w:rPr>
          <w:rFonts w:ascii="Verdana" w:hAnsi="Verdana" w:cs="Verdana"/>
          <w:b/>
          <w:bCs/>
          <w:sz w:val="24"/>
          <w:szCs w:val="24"/>
          <w:u w:val="single"/>
          <w:lang w:val="es-ES" w:eastAsia="es-ES"/>
        </w:rPr>
        <w:t xml:space="preserve">Ley 6227 del 02 de mayo </w:t>
      </w:r>
      <w:r>
        <w:rPr>
          <w:rFonts w:ascii="Verdana" w:hAnsi="Verdana" w:cs="Verdana"/>
          <w:b/>
          <w:bCs/>
          <w:sz w:val="24"/>
          <w:szCs w:val="24"/>
          <w:lang w:val="es-ES" w:eastAsia="es-ES"/>
        </w:rPr>
        <w:t xml:space="preserve">de 1978, </w:t>
      </w:r>
      <w:r>
        <w:rPr>
          <w:rFonts w:ascii="Verdana" w:hAnsi="Verdana" w:cs="Verdana"/>
          <w:sz w:val="24"/>
          <w:szCs w:val="24"/>
          <w:lang w:val="es-ES" w:eastAsia="es-ES"/>
        </w:rPr>
        <w:t>(LAGP) en su Artículo 16 dispone:</w:t>
      </w:r>
    </w:p>
    <w:p w:rsidR="0042350F" w:rsidRDefault="00E078D2">
      <w:pPr>
        <w:kinsoku w:val="0"/>
        <w:overflowPunct w:val="0"/>
        <w:autoSpaceDE/>
        <w:autoSpaceDN/>
        <w:adjustRightInd/>
        <w:spacing w:before="281" w:line="289" w:lineRule="exact"/>
        <w:ind w:left="288"/>
        <w:textAlignment w:val="baseline"/>
        <w:rPr>
          <w:rFonts w:ascii="Verdana" w:hAnsi="Verdana" w:cs="Verdana"/>
          <w:sz w:val="24"/>
          <w:szCs w:val="24"/>
          <w:lang w:eastAsia="en-US"/>
        </w:rPr>
      </w:pPr>
      <w:r>
        <w:rPr>
          <w:rFonts w:ascii="Verdana" w:hAnsi="Verdana" w:cs="Verdana"/>
          <w:i/>
          <w:iCs/>
          <w:spacing w:val="-1"/>
          <w:sz w:val="24"/>
          <w:szCs w:val="24"/>
          <w:lang w:val="es-ES" w:eastAsia="es-ES"/>
        </w:rPr>
        <w:t>"Artículo 16.</w:t>
      </w:r>
      <w:r>
        <w:rPr>
          <w:rFonts w:ascii="Verdana" w:hAnsi="Verdana" w:cs="Verdana"/>
          <w:i/>
          <w:iCs/>
          <w:spacing w:val="-1"/>
          <w:sz w:val="24"/>
          <w:szCs w:val="24"/>
          <w:lang w:val="es-ES" w:eastAsia="es-ES"/>
        </w:rPr>
        <w:noBreakHyphen/>
      </w:r>
    </w:p>
    <w:p w:rsidR="0042350F" w:rsidRDefault="00E078D2" w:rsidP="00E4027F">
      <w:pPr>
        <w:numPr>
          <w:ilvl w:val="0"/>
          <w:numId w:val="21"/>
        </w:numPr>
        <w:kinsoku w:val="0"/>
        <w:overflowPunct w:val="0"/>
        <w:autoSpaceDE/>
        <w:autoSpaceDN/>
        <w:adjustRightInd/>
        <w:spacing w:before="285" w:line="293" w:lineRule="exact"/>
        <w:ind w:right="288"/>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t>En ningún caso podrán dictarse actos contrarios a reglas unívocas de la ciencia o de la técnica, o a principios elementales de justicia, lógica o conveniencia.</w:t>
      </w:r>
    </w:p>
    <w:p w:rsidR="0042350F" w:rsidRDefault="00E078D2" w:rsidP="00E4027F">
      <w:pPr>
        <w:numPr>
          <w:ilvl w:val="0"/>
          <w:numId w:val="21"/>
        </w:numPr>
        <w:kinsoku w:val="0"/>
        <w:overflowPunct w:val="0"/>
        <w:autoSpaceDE/>
        <w:autoSpaceDN/>
        <w:adjustRightInd/>
        <w:spacing w:before="290" w:line="297" w:lineRule="exact"/>
        <w:ind w:right="288"/>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t>El Juez podrá controlar la conformidad con estas reglas no jurídicas de los elementos discrecionales del acto, como si ejerciera contralor de legalidad."</w:t>
      </w:r>
    </w:p>
    <w:p w:rsidR="0042350F" w:rsidRDefault="00E078D2">
      <w:pPr>
        <w:kinsoku w:val="0"/>
        <w:overflowPunct w:val="0"/>
        <w:autoSpaceDE/>
        <w:autoSpaceDN/>
        <w:adjustRightInd/>
        <w:spacing w:before="287" w:line="295" w:lineRule="exact"/>
        <w:jc w:val="both"/>
        <w:textAlignment w:val="baseline"/>
        <w:rPr>
          <w:rFonts w:ascii="Verdana" w:hAnsi="Verdana" w:cs="Verdana"/>
          <w:spacing w:val="2"/>
          <w:sz w:val="24"/>
          <w:szCs w:val="24"/>
          <w:lang w:val="es-ES" w:eastAsia="es-ES"/>
        </w:rPr>
      </w:pPr>
      <w:r>
        <w:rPr>
          <w:rFonts w:ascii="Verdana" w:hAnsi="Verdana" w:cs="Verdana"/>
          <w:spacing w:val="2"/>
          <w:sz w:val="24"/>
          <w:szCs w:val="24"/>
          <w:lang w:val="es-ES" w:eastAsia="es-ES"/>
        </w:rPr>
        <w:t>De lo anterior se colige que la Administración Pública, no solo debe emitir sus actos dentro del marco de Legalidad consagrado en los artículos 11 de la Carta Magna y 11 del cuerpo legal de referencia, sino que además debe hacerlo dentro de las reglas de la ciencia, técnica y los principios elementales de justicia, lógica y conveniencia; esto es así pues los actos administrativos no pueden ser arbitrarios y por lo tanto causar o someter a través de ellos a los administrados a situaciones desproporcionadas o irracionales y que les cause un perjuicio injusto que traspasa los límites de la Legalidad misma.</w:t>
      </w:r>
    </w:p>
    <w:p w:rsidR="0042350F" w:rsidRDefault="00E078D2">
      <w:pPr>
        <w:kinsoku w:val="0"/>
        <w:overflowPunct w:val="0"/>
        <w:autoSpaceDE/>
        <w:autoSpaceDN/>
        <w:adjustRightInd/>
        <w:spacing w:before="293" w:line="297" w:lineRule="exact"/>
        <w:textAlignment w:val="baseline"/>
        <w:rPr>
          <w:rFonts w:ascii="Verdana" w:hAnsi="Verdana" w:cs="Verdana"/>
          <w:b/>
          <w:bCs/>
          <w:sz w:val="24"/>
          <w:szCs w:val="24"/>
          <w:lang w:val="es-ES" w:eastAsia="es-ES"/>
        </w:rPr>
      </w:pPr>
      <w:r>
        <w:rPr>
          <w:rFonts w:ascii="Verdana" w:hAnsi="Verdana" w:cs="Verdana"/>
          <w:b/>
          <w:bCs/>
          <w:sz w:val="24"/>
          <w:szCs w:val="24"/>
          <w:lang w:val="es-ES" w:eastAsia="es-ES"/>
        </w:rPr>
        <w:t>DE LA MOTIVACIÓN DE LOS ACTOS ADMINISTRATIVOS.</w:t>
      </w:r>
    </w:p>
    <w:p w:rsidR="0042350F" w:rsidRDefault="00E078D2">
      <w:pPr>
        <w:kinsoku w:val="0"/>
        <w:overflowPunct w:val="0"/>
        <w:autoSpaceDE/>
        <w:autoSpaceDN/>
        <w:adjustRightInd/>
        <w:spacing w:before="292"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La Administración, en los casos donde se encuentra en juego intereses legítimos de los administrados, debe ser exhaustiva en sus valoraciones técnicas, de modo que no se ponga en entre dicho ni su imparcialidad ni su objetividad, así como que no se le pueda achacar por simples errores perjuicios a una de las partes en la situación jurídica determinada, sin que medie motivo que deje con meridiana claridad establecido, el nexo de causalidad entre el daño causado y el interés público que se está alcanzando con tal acto.</w:t>
      </w:r>
    </w:p>
    <w:p w:rsidR="0042350F" w:rsidRDefault="00E078D2">
      <w:pPr>
        <w:kinsoku w:val="0"/>
        <w:overflowPunct w:val="0"/>
        <w:autoSpaceDE/>
        <w:autoSpaceDN/>
        <w:adjustRightInd/>
        <w:spacing w:before="285" w:after="1684"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t>Lo anterior, solo se logra a través de la motivación, pues es allí donde la Administración, podrá justificar de manera, lógica, técnica, científica o jurídica</w:t>
      </w:r>
      <w:r w:rsidR="00E4027F">
        <w:rPr>
          <w:rFonts w:ascii="Verdana" w:hAnsi="Verdana" w:cs="Verdana"/>
          <w:sz w:val="24"/>
          <w:szCs w:val="24"/>
          <w:lang w:val="es-ES" w:eastAsia="es-ES"/>
        </w:rPr>
        <w:t>m</w:t>
      </w:r>
      <w:r>
        <w:rPr>
          <w:rFonts w:ascii="Verdana" w:hAnsi="Verdana" w:cs="Verdana"/>
          <w:sz w:val="24"/>
          <w:szCs w:val="24"/>
          <w:lang w:val="es-ES" w:eastAsia="es-ES"/>
        </w:rPr>
        <w:t>ente la decisión que ha de adoptar.</w:t>
      </w:r>
    </w:p>
    <w:p w:rsidR="0042350F" w:rsidRDefault="0042350F">
      <w:pPr>
        <w:widowControl/>
        <w:rPr>
          <w:sz w:val="24"/>
          <w:szCs w:val="24"/>
        </w:rPr>
        <w:sectPr w:rsidR="0042350F">
          <w:pgSz w:w="12134" w:h="15840"/>
          <w:pgMar w:top="1400" w:right="1557" w:bottom="364" w:left="1649" w:header="720" w:footer="720" w:gutter="0"/>
          <w:cols w:space="720"/>
          <w:noEndnote/>
        </w:sectPr>
      </w:pPr>
    </w:p>
    <w:p w:rsidR="0042350F" w:rsidRDefault="0042350F">
      <w:pPr>
        <w:widowControl/>
        <w:rPr>
          <w:sz w:val="24"/>
          <w:szCs w:val="24"/>
        </w:rPr>
        <w:sectPr w:rsidR="0042350F">
          <w:type w:val="continuous"/>
          <w:pgSz w:w="12134" w:h="15840"/>
          <w:pgMar w:top="1400" w:right="1604" w:bottom="364" w:left="8290" w:header="720" w:footer="720" w:gutter="0"/>
          <w:cols w:space="720"/>
          <w:noEndnote/>
        </w:sectPr>
      </w:pPr>
    </w:p>
    <w:p w:rsidR="0042350F" w:rsidRDefault="00E078D2">
      <w:pPr>
        <w:kinsoku w:val="0"/>
        <w:overflowPunct w:val="0"/>
        <w:autoSpaceDE/>
        <w:autoSpaceDN/>
        <w:adjustRightInd/>
        <w:spacing w:before="10" w:line="295" w:lineRule="exact"/>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El Tribunal Contencioso Administrativo Sección IV en su sentencia 00106 de las trece horas del once de noviembre de 2013 indico:</w:t>
      </w:r>
    </w:p>
    <w:p w:rsidR="0042350F" w:rsidRDefault="00E078D2">
      <w:pPr>
        <w:tabs>
          <w:tab w:val="left" w:pos="2664"/>
          <w:tab w:val="left" w:pos="5616"/>
          <w:tab w:val="right" w:pos="8568"/>
        </w:tabs>
        <w:kinsoku w:val="0"/>
        <w:overflowPunct w:val="0"/>
        <w:autoSpaceDE/>
        <w:autoSpaceDN/>
        <w:adjustRightInd/>
        <w:spacing w:before="260" w:line="197" w:lineRule="exact"/>
        <w:ind w:left="360"/>
        <w:textAlignment w:val="baseline"/>
        <w:rPr>
          <w:rFonts w:ascii="Verdana" w:hAnsi="Verdana" w:cs="Verdana"/>
          <w:b/>
          <w:bCs/>
          <w:i/>
          <w:iCs/>
          <w:sz w:val="16"/>
          <w:szCs w:val="16"/>
          <w:lang w:val="es-ES" w:eastAsia="es-ES"/>
        </w:rPr>
      </w:pPr>
      <w:r>
        <w:rPr>
          <w:rFonts w:ascii="Verdana" w:hAnsi="Verdana" w:cs="Verdana"/>
          <w:b/>
          <w:bCs/>
          <w:i/>
          <w:iCs/>
          <w:sz w:val="16"/>
          <w:szCs w:val="16"/>
          <w:lang w:val="es-ES" w:eastAsia="es-ES"/>
        </w:rPr>
        <w:t>"VILII.I-</w:t>
      </w:r>
      <w:r>
        <w:rPr>
          <w:rFonts w:ascii="Verdana" w:hAnsi="Verdana" w:cs="Verdana"/>
          <w:b/>
          <w:bCs/>
          <w:i/>
          <w:iCs/>
          <w:sz w:val="16"/>
          <w:szCs w:val="16"/>
          <w:lang w:val="es-ES" w:eastAsia="es-ES"/>
        </w:rPr>
        <w:tab/>
        <w:t>Consideraciones</w:t>
      </w:r>
      <w:r>
        <w:rPr>
          <w:rFonts w:ascii="Verdana" w:hAnsi="Verdana" w:cs="Verdana"/>
          <w:b/>
          <w:bCs/>
          <w:i/>
          <w:iCs/>
          <w:sz w:val="16"/>
          <w:szCs w:val="16"/>
          <w:lang w:val="es-ES" w:eastAsia="es-ES"/>
        </w:rPr>
        <w:tab/>
        <w:t>generales</w:t>
      </w:r>
      <w:r>
        <w:rPr>
          <w:rFonts w:ascii="Verdana" w:hAnsi="Verdana" w:cs="Verdana"/>
          <w:b/>
          <w:bCs/>
          <w:i/>
          <w:iCs/>
          <w:sz w:val="16"/>
          <w:szCs w:val="16"/>
          <w:lang w:val="es-ES" w:eastAsia="es-ES"/>
        </w:rPr>
        <w:tab/>
        <w:t>sobre</w:t>
      </w:r>
    </w:p>
    <w:p w:rsidR="0042350F" w:rsidRDefault="00E078D2">
      <w:pPr>
        <w:kinsoku w:val="0"/>
        <w:overflowPunct w:val="0"/>
        <w:autoSpaceDE/>
        <w:autoSpaceDN/>
        <w:adjustRightInd/>
        <w:spacing w:line="185" w:lineRule="exact"/>
        <w:ind w:left="360"/>
        <w:jc w:val="both"/>
        <w:textAlignment w:val="baseline"/>
        <w:rPr>
          <w:rFonts w:ascii="Verdana" w:hAnsi="Verdana" w:cs="Verdana"/>
          <w:b/>
          <w:bCs/>
          <w:i/>
          <w:iCs/>
          <w:sz w:val="16"/>
          <w:szCs w:val="16"/>
          <w:lang w:val="es-ES" w:eastAsia="es-ES"/>
        </w:rPr>
      </w:pPr>
      <w:r>
        <w:rPr>
          <w:rFonts w:ascii="Verdana" w:hAnsi="Verdana" w:cs="Verdana"/>
          <w:b/>
          <w:bCs/>
          <w:i/>
          <w:iCs/>
          <w:sz w:val="16"/>
          <w:szCs w:val="16"/>
          <w:lang w:val="es-ES" w:eastAsia="es-ES"/>
        </w:rPr>
        <w:t>la motivación como elemento del acto administrativo:</w:t>
      </w:r>
    </w:p>
    <w:p w:rsidR="0042350F" w:rsidRDefault="00E078D2" w:rsidP="00E4027F">
      <w:pPr>
        <w:kinsoku w:val="0"/>
        <w:overflowPunct w:val="0"/>
        <w:autoSpaceDE/>
        <w:autoSpaceDN/>
        <w:adjustRightInd/>
        <w:spacing w:before="9" w:line="197" w:lineRule="exact"/>
        <w:ind w:left="360" w:right="360"/>
        <w:jc w:val="both"/>
        <w:textAlignment w:val="baseline"/>
        <w:rPr>
          <w:rFonts w:ascii="Verdana" w:hAnsi="Verdana" w:cs="Verdana"/>
          <w:sz w:val="24"/>
          <w:szCs w:val="24"/>
          <w:lang w:eastAsia="en-US"/>
        </w:rPr>
      </w:pPr>
      <w:r>
        <w:rPr>
          <w:rFonts w:ascii="Verdana" w:hAnsi="Verdana" w:cs="Verdana"/>
          <w:b/>
          <w:bCs/>
          <w:i/>
          <w:iCs/>
          <w:spacing w:val="2"/>
          <w:sz w:val="16"/>
          <w:szCs w:val="16"/>
          <w:lang w:val="es-ES" w:eastAsia="es-ES"/>
        </w:rPr>
        <w:t>La actuación formal de la Administración Pública se materializa en la adopción de actos administrativos, entendidos éstos como las declaraciones unilaterales de voluntad, juicio o conocimiento que se emiten en ejercicio de la función administrativa, generadoras de efectos internos o externos, individuales o generales de alcance normativo o no. Dichos actos pueden tener alcance concreto o general, según sus efectos vayan a uno o varios administrados específicos o que tengan un alcance más indeterminado. En el caso de los actos de alcance concreto, la Ley General de la Administración Pública establece como elementos materiales o sustanciales, la competencia del sujeto que emite el acto, el motivo que le da origen-, (entendido éste como los antecedentes o presupuestos jurídicos o fácticos de la conducta administrativa), el contenido o sea lo que en sí dispone el acto (el cual deberá ser lícito, posible, claro, proporcional y acorde al motivo) y el fin público perseguido con su adopción. Como elementos formales, se considera tanto el procedimiento adoptado para</w:t>
      </w:r>
      <w:r w:rsidR="00E4027F">
        <w:rPr>
          <w:rFonts w:ascii="Verdana" w:hAnsi="Verdana" w:cs="Verdana"/>
          <w:b/>
          <w:bCs/>
          <w:i/>
          <w:iCs/>
          <w:spacing w:val="2"/>
          <w:sz w:val="16"/>
          <w:szCs w:val="16"/>
          <w:lang w:val="es-ES" w:eastAsia="es-ES"/>
        </w:rPr>
        <w:t xml:space="preserve"> </w:t>
      </w:r>
      <w:r>
        <w:rPr>
          <w:rFonts w:ascii="Verdana" w:hAnsi="Verdana" w:cs="Verdana"/>
          <w:b/>
          <w:bCs/>
          <w:i/>
          <w:iCs/>
          <w:spacing w:val="2"/>
          <w:sz w:val="16"/>
          <w:szCs w:val="16"/>
          <w:lang w:val="es-ES" w:eastAsia="es-ES"/>
        </w:rPr>
        <w:t>su</w:t>
      </w:r>
      <w:r>
        <w:rPr>
          <w:rFonts w:ascii="Verdana" w:hAnsi="Verdana" w:cs="Verdana"/>
          <w:b/>
          <w:bCs/>
          <w:i/>
          <w:iCs/>
          <w:spacing w:val="2"/>
          <w:sz w:val="16"/>
          <w:szCs w:val="16"/>
          <w:lang w:val="es-ES" w:eastAsia="es-ES"/>
        </w:rPr>
        <w:tab/>
        <w:t>materialización, como s</w:t>
      </w:r>
      <w:r w:rsidR="00E4027F">
        <w:rPr>
          <w:rFonts w:ascii="Verdana" w:hAnsi="Verdana" w:cs="Verdana"/>
          <w:b/>
          <w:bCs/>
          <w:i/>
          <w:iCs/>
          <w:spacing w:val="2"/>
          <w:sz w:val="16"/>
          <w:szCs w:val="16"/>
          <w:lang w:val="es-ES" w:eastAsia="es-ES"/>
        </w:rPr>
        <w:t>u motivación , sea el fundament</w:t>
      </w:r>
      <w:r>
        <w:rPr>
          <w:rFonts w:ascii="Verdana" w:hAnsi="Verdana" w:cs="Verdana"/>
          <w:b/>
          <w:bCs/>
          <w:i/>
          <w:iCs/>
          <w:spacing w:val="2"/>
          <w:sz w:val="16"/>
          <w:szCs w:val="16"/>
          <w:lang w:val="es-ES" w:eastAsia="es-ES"/>
        </w:rPr>
        <w:t>o</w:t>
      </w:r>
      <w:r w:rsidR="00E4027F">
        <w:rPr>
          <w:rFonts w:ascii="Verdana" w:hAnsi="Verdana" w:cs="Verdana"/>
          <w:b/>
          <w:bCs/>
          <w:i/>
          <w:iCs/>
          <w:spacing w:val="2"/>
          <w:sz w:val="16"/>
          <w:szCs w:val="16"/>
          <w:lang w:val="es-ES" w:eastAsia="es-ES"/>
        </w:rPr>
        <w:t xml:space="preserve"> </w:t>
      </w:r>
      <w:r>
        <w:rPr>
          <w:rFonts w:ascii="Verdana" w:hAnsi="Verdana" w:cs="Verdana"/>
          <w:b/>
          <w:bCs/>
          <w:i/>
          <w:iCs/>
          <w:spacing w:val="2"/>
          <w:sz w:val="16"/>
          <w:szCs w:val="16"/>
          <w:lang w:val="es-ES" w:eastAsia="es-ES"/>
        </w:rPr>
        <w:t>de la conducta</w:t>
      </w:r>
      <w:r w:rsidR="00E4027F">
        <w:rPr>
          <w:rFonts w:ascii="Verdana" w:hAnsi="Verdana" w:cs="Verdana"/>
          <w:b/>
          <w:bCs/>
          <w:i/>
          <w:iCs/>
          <w:spacing w:val="2"/>
          <w:sz w:val="16"/>
          <w:szCs w:val="16"/>
          <w:lang w:val="es-ES" w:eastAsia="es-ES"/>
        </w:rPr>
        <w:t xml:space="preserve"> </w:t>
      </w:r>
      <w:r>
        <w:rPr>
          <w:rFonts w:ascii="Verdana" w:hAnsi="Verdana" w:cs="Verdana"/>
          <w:b/>
          <w:bCs/>
          <w:i/>
          <w:iCs/>
          <w:spacing w:val="2"/>
          <w:sz w:val="16"/>
          <w:szCs w:val="16"/>
          <w:lang w:val="es-ES" w:eastAsia="es-ES"/>
        </w:rPr>
        <w:t xml:space="preserve">administrativa. Con respecto a este elemento del acto administrativo, se ha definido de la siguiente manera: "Así, la motivación comprende la exposición de las razones que han llevado al órgano a emitirlo y, en especial, la expresión de los antecedentes de hecho y de derecho que preceden y justifican el dictado del acto. No es éste desde luego el criterio de la doctrina clásica que limita la motivación a la enunciación de los antecedentes de hecho y de derecho (es decir a la expresión de la causa). Nos parece más adecuado basar el requisito de la motivación en la enunciación de las razones que han determinado el dictado del acto, lo cual permite incluir la exteriorización de otro elemento considerado esencial: la finalidad. Si bien esta conclusión no es reconocida en forma expresa, muchos </w:t>
      </w:r>
      <w:r w:rsidR="00E4027F">
        <w:rPr>
          <w:rFonts w:ascii="Verdana" w:hAnsi="Verdana" w:cs="Verdana"/>
          <w:b/>
          <w:bCs/>
          <w:i/>
          <w:iCs/>
          <w:spacing w:val="2"/>
          <w:sz w:val="16"/>
          <w:szCs w:val="16"/>
          <w:lang w:val="es-ES" w:eastAsia="es-ES"/>
        </w:rPr>
        <w:t>tratadistas</w:t>
      </w:r>
      <w:r>
        <w:rPr>
          <w:rFonts w:ascii="Verdana" w:hAnsi="Verdana" w:cs="Verdana"/>
          <w:b/>
          <w:bCs/>
          <w:i/>
          <w:iCs/>
          <w:spacing w:val="2"/>
          <w:sz w:val="16"/>
          <w:szCs w:val="16"/>
          <w:lang w:val="es-ES" w:eastAsia="es-ES"/>
        </w:rPr>
        <w:t xml:space="preserve"> la admiten virtualmente en cuanto afirman que el requisito de la motivación</w:t>
      </w:r>
      <w:r w:rsidR="00E4027F">
        <w:rPr>
          <w:rFonts w:ascii="Verdana" w:hAnsi="Verdana" w:cs="Verdana"/>
          <w:b/>
          <w:bCs/>
          <w:i/>
          <w:iCs/>
          <w:spacing w:val="2"/>
          <w:sz w:val="16"/>
          <w:szCs w:val="16"/>
          <w:lang w:val="es-ES" w:eastAsia="es-ES"/>
        </w:rPr>
        <w:t xml:space="preserve"> </w:t>
      </w:r>
      <w:r>
        <w:rPr>
          <w:rFonts w:ascii="Verdana" w:hAnsi="Verdana" w:cs="Verdana"/>
          <w:b/>
          <w:bCs/>
          <w:i/>
          <w:iCs/>
          <w:spacing w:val="2"/>
          <w:sz w:val="16"/>
          <w:szCs w:val="16"/>
          <w:lang w:val="es-ES" w:eastAsia="es-ES"/>
        </w:rPr>
        <w:t xml:space="preserve">constituye uno de los primeros pasos hacia el reconocimiento del recurso de desviación de poder, pero lo cierto es que al limitar el concepto de motivación a la expresión de la causa, no toda la doctrina advierte la importancia que ella puede tener para acreditar la existencia de un defecto o vicio en el elemento finalidad." (CASSAGNE, Juan Carlos, El Acto Administrativo, Buenos Aires, Segunda Edición, Abeledo-Perrot, p. 212-213) La doctrina nacional por su parte lo ha expresado de la siguiente manera: "...es una declaración de cuáles son las circunstancias de hecho y de derecho que han llevado a la respectiva administración pública al dictado o emanación del acto administrativo. La motivación es la expresión formal del motivo y, normalmente, en cualquier resolución administrativa, está contenida en los denominados 'considerandos' -parte consideratíva-. La motivación, al consistir en una enunciación de los hechos y del fundamento jurídico que la administración pública tuvo en cuenta para emitir su decisión o voluntad, constituye un medio de prueba de la intencionalidad de esta y una pauta indispensable para interpretar y aplicar el respectivo acto administrativo." (JINESTA LOBO, Ernesto. </w:t>
      </w:r>
      <w:r>
        <w:rPr>
          <w:rFonts w:ascii="Verdana" w:hAnsi="Verdana" w:cs="Verdana"/>
          <w:b/>
          <w:bCs/>
          <w:i/>
          <w:iCs/>
          <w:spacing w:val="2"/>
          <w:sz w:val="16"/>
          <w:szCs w:val="16"/>
          <w:u w:val="single"/>
          <w:lang w:val="es-ES" w:eastAsia="es-ES"/>
        </w:rPr>
        <w:t xml:space="preserve"> Tratado de Derecho Administrativo.</w:t>
      </w:r>
      <w:r>
        <w:rPr>
          <w:rFonts w:ascii="Verdana" w:hAnsi="Verdana" w:cs="Verdana"/>
          <w:b/>
          <w:bCs/>
          <w:i/>
          <w:iCs/>
          <w:spacing w:val="2"/>
          <w:sz w:val="16"/>
          <w:szCs w:val="16"/>
          <w:lang w:val="es-ES" w:eastAsia="es-ES"/>
        </w:rPr>
        <w:t xml:space="preserve"> Tomo I. (Parte General). Investigaciones Jurídicas S.A Ius Consultec. S.A.2007.) Por su parte, el artículo 136 de la Ley General de la Administración Pública se refiere a este elemento de la siguiente manera: "Artículo 136.</w:t>
      </w:r>
      <w:r>
        <w:rPr>
          <w:rFonts w:ascii="Verdana" w:hAnsi="Verdana" w:cs="Verdana"/>
          <w:b/>
          <w:bCs/>
          <w:i/>
          <w:iCs/>
          <w:spacing w:val="2"/>
          <w:sz w:val="16"/>
          <w:szCs w:val="16"/>
          <w:lang w:val="es-ES" w:eastAsia="es-ES"/>
        </w:rPr>
        <w:noBreakHyphen/>
      </w:r>
    </w:p>
    <w:p w:rsidR="0042350F" w:rsidRDefault="00E078D2">
      <w:pPr>
        <w:kinsoku w:val="0"/>
        <w:overflowPunct w:val="0"/>
        <w:autoSpaceDE/>
        <w:autoSpaceDN/>
        <w:adjustRightInd/>
        <w:spacing w:before="20" w:after="374" w:line="197" w:lineRule="exact"/>
        <w:ind w:left="360" w:right="360"/>
        <w:jc w:val="both"/>
        <w:textAlignment w:val="baseline"/>
        <w:rPr>
          <w:rFonts w:ascii="Verdana" w:hAnsi="Verdana" w:cs="Verdana"/>
          <w:b/>
          <w:bCs/>
          <w:i/>
          <w:iCs/>
          <w:sz w:val="16"/>
          <w:szCs w:val="16"/>
          <w:lang w:val="es-ES" w:eastAsia="es-ES"/>
        </w:rPr>
      </w:pPr>
      <w:r>
        <w:rPr>
          <w:rFonts w:ascii="Verdana" w:hAnsi="Verdana" w:cs="Verdana"/>
          <w:b/>
          <w:bCs/>
          <w:i/>
          <w:iCs/>
          <w:sz w:val="16"/>
          <w:szCs w:val="16"/>
          <w:lang w:val="es-ES" w:eastAsia="es-ES"/>
        </w:rPr>
        <w:t>1. Serán motivados con mención, sucinta al menos, de sus fundamentos: a) Los actos que impongan obligaciones o que limiten, supriman o denieguen derechos subjetivos; b) Los que resuelvan recursos; c) Los que se separen del criterio seguido en actuaciones precedentes o del dictamen de órganos consultivos; d) Los de suspensión de actos que hayan sido objeto del recurso; e) Los reglamentos y</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actos discrecionales de alcance general; y f) Los que deban serlo en virtud de ley. 2. La motivación</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podrá consistir en la referencia explícita o inequívoca a los motivos de la petición del administrado, o bien a propuestas, dictámenes o resoluciones previas que hayan determinado realmente la adopción del</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acto, a condición de que se acompañe su copia". Como se advierte de la norma indicada anteriormente el elemento motivación tiene especial relevancia para todos aquellos actos que impacten de manera directa en la esfera jurídica del administrativo y tengan efectos en sus derechos subjetivos e intereses legítimos. Lo anterior, en tanto que como producto de un proceso lógico-jurídico, este elemento resulta consustancial a que el Administrado sepa a qué atenerse frente a la resolución administrativa que deviene en una consecuencia jurídica ante su situación jurídica en particular. Mediante la motivación actúa la mente del funcionario responsable, realizando un encadenamiento entre los hechos de cuya consideración se parte, a fin de subsumirlos en el supuesto de una norma jurídica, con el propósito de razonar la resolución que se</w:t>
      </w:r>
    </w:p>
    <w:p w:rsidR="0042350F" w:rsidRDefault="0042350F">
      <w:pPr>
        <w:widowControl/>
        <w:rPr>
          <w:sz w:val="24"/>
          <w:szCs w:val="24"/>
        </w:rPr>
        <w:sectPr w:rsidR="0042350F">
          <w:pgSz w:w="12134" w:h="15840"/>
          <w:pgMar w:top="1420" w:right="1497" w:bottom="344" w:left="1709" w:header="720" w:footer="720" w:gutter="0"/>
          <w:cols w:space="720"/>
          <w:noEndnote/>
        </w:sectPr>
      </w:pPr>
    </w:p>
    <w:p w:rsidR="0042350F" w:rsidRDefault="0042350F">
      <w:pPr>
        <w:widowControl/>
        <w:rPr>
          <w:sz w:val="24"/>
          <w:szCs w:val="24"/>
        </w:rPr>
        <w:sectPr w:rsidR="0042350F">
          <w:type w:val="continuous"/>
          <w:pgSz w:w="12134" w:h="15840"/>
          <w:pgMar w:top="1420" w:right="1524" w:bottom="344" w:left="8370" w:header="720" w:footer="720" w:gutter="0"/>
          <w:cols w:space="720"/>
          <w:noEndnote/>
        </w:sectPr>
      </w:pPr>
    </w:p>
    <w:p w:rsidR="0042350F" w:rsidRDefault="00E078D2">
      <w:pPr>
        <w:kinsoku w:val="0"/>
        <w:overflowPunct w:val="0"/>
        <w:autoSpaceDE/>
        <w:autoSpaceDN/>
        <w:adjustRightInd/>
        <w:spacing w:before="35" w:after="427" w:line="197" w:lineRule="exact"/>
        <w:ind w:right="72"/>
        <w:jc w:val="both"/>
        <w:textAlignment w:val="baseline"/>
        <w:rPr>
          <w:rFonts w:ascii="Verdana" w:hAnsi="Verdana" w:cs="Verdana"/>
          <w:b/>
          <w:bCs/>
          <w:i/>
          <w:iCs/>
          <w:spacing w:val="1"/>
          <w:sz w:val="16"/>
          <w:szCs w:val="16"/>
          <w:lang w:val="es-ES" w:eastAsia="es-ES"/>
        </w:rPr>
      </w:pPr>
      <w:r>
        <w:rPr>
          <w:rFonts w:ascii="Verdana" w:hAnsi="Verdana" w:cs="Verdana"/>
          <w:b/>
          <w:bCs/>
          <w:i/>
          <w:iCs/>
          <w:spacing w:val="1"/>
          <w:sz w:val="16"/>
          <w:szCs w:val="16"/>
          <w:lang w:val="es-ES" w:eastAsia="es-ES"/>
        </w:rPr>
        <w:lastRenderedPageBreak/>
        <w:t>debe adoptar en la parte dispositiva del acto, a fin de cumplir un determinado fin público. Consecuencia de lo anterior, es que la motivación se encuentra íntimamente vinculada con el debido proceso administrativo, en tanto que permite conocer las razones que dan fundamento a la decisión administrativa y abre la posibilidad de orientar su impugnación, tanto en sede administrativa como jurisdiccional. En razón de lo anterior, debe entenderse que la motivación debe ser suficiente, comprensiva de los hechos que dan origen al acto, fundada en criterios técnicos, clara, pública, racional y sostenible en sí misma. Debe consistir en una explicación de la intencionalidad de la administración para tener legitimidad de frente al Administrado y la sociedad misma. Sólo así se podrá comprender de manera fehaciente y transparente los fundamentos de la conducta administrativa, para efectos de su interpretación, aplicación y eventual revisión. En razón de lo indicado, se hace evidente que la</w:t>
      </w:r>
      <w:r w:rsidR="00E4027F">
        <w:rPr>
          <w:rFonts w:ascii="Verdana" w:hAnsi="Verdana" w:cs="Verdana"/>
          <w:b/>
          <w:bCs/>
          <w:i/>
          <w:iCs/>
          <w:spacing w:val="1"/>
          <w:sz w:val="16"/>
          <w:szCs w:val="16"/>
          <w:lang w:val="es-ES" w:eastAsia="es-ES"/>
        </w:rPr>
        <w:t xml:space="preserve"> </w:t>
      </w:r>
      <w:r>
        <w:rPr>
          <w:rFonts w:ascii="Verdana" w:hAnsi="Verdana" w:cs="Verdana"/>
          <w:b/>
          <w:bCs/>
          <w:i/>
          <w:iCs/>
          <w:spacing w:val="1"/>
          <w:sz w:val="16"/>
          <w:szCs w:val="16"/>
          <w:lang w:val="es-ES" w:eastAsia="es-ES"/>
        </w:rPr>
        <w:t xml:space="preserve">motivación es baluarte frente a la arbitrariedad. Así lo ha indicado la doctrina, de la siguiente manera: "...la motivación permite, en suma, conocer sobre todo la causa y el fin del acto administrativo, pero también el Derecho con el que se pretende legitimar la decisión, y el procedimiento para su adopción. De ahí el carácter fundamental que se asigna a este requisito que excede su condición de mero formalismo, pues se ha dicho, con razón, que "motivar un acto es reconducir la decisión que en el mismo se contiene a una regla de Derecho, que autoriza tal decisión o de cuya aplicación surge y así se explique que estemos ante una importante conquista jurídica, relativamente tardía, del Derecho público, frente a la contraria regla del absolutismo que impedía la motivación de las decisiones del Monarca e incluso judiciales. El proceso de legalización de la justicia y el proceso de legalización de la actividad administrativa concluyen, finalmente, en la exigencia de motivar las sentencias y las resoluciones administrativas, de forma que unas y otras aparezcan como concreción del mandato del legislativo y no como decisiones voluntaristas o arbitrarias" GARRIDO FALLA, Fernando y FERNÁNDEZ PASTRANA, José. María. "Régimen Jurídico y Procedimiento de las Administraciones Públicas", Edit. Cívitas, 2000, Pág 187. Es claro entonces que mediante la motivación se pone en evidencia si la Administración para la toma de decisiones, tomó en consideración de manera efectiva y exhaustiva los motivos que le dan origen, valoró los elementos de convicción a su alcance, ponderó el necesario cumplimiento del fin público con su decisión y ante todo, si se está ante un acto acorde con la juricidad, en donde se aplicó el correspondiente ordenamiento jurídico. La Sala Primera de la Corte Suprema de Justicia se ha referido a este elemento de la siguiente manera: "La motivación se traduce en la fundamentación fáctica y jurídica, con la que la Administración justifica la legalidad y oportunidad del acto que adopta y normalmente se exterioriza en los considerandos del acto. La motivación de las actuaciones de la administración es un requisito que posee una profunda raigambre constitucional, puesto que encuentra fundamento tanto en el principio de legalidad como en el derecho de defensa (artículos 11 y 39 de la Constitución Política y Voto de la Sala Constitucional N° 1522 de las 14:20 horas del 8 de agosto de 1991). Consecuentemente, el acto administrativo cuya motivación se haga depender de la invocación genérica de una ley, es un acto administrativo arbitrario y nulo." (Voto 48-1995 de </w:t>
      </w:r>
      <w:r>
        <w:rPr>
          <w:rFonts w:ascii="Verdana" w:hAnsi="Verdana" w:cs="Verdana"/>
          <w:b/>
          <w:bCs/>
          <w:spacing w:val="1"/>
          <w:sz w:val="16"/>
          <w:szCs w:val="16"/>
          <w:lang w:val="es-ES" w:eastAsia="es-ES"/>
        </w:rPr>
        <w:t xml:space="preserve">19 </w:t>
      </w:r>
      <w:r>
        <w:rPr>
          <w:rFonts w:ascii="Verdana" w:hAnsi="Verdana" w:cs="Verdana"/>
          <w:b/>
          <w:bCs/>
          <w:i/>
          <w:iCs/>
          <w:spacing w:val="1"/>
          <w:sz w:val="16"/>
          <w:szCs w:val="16"/>
          <w:lang w:val="es-ES" w:eastAsia="es-ES"/>
        </w:rPr>
        <w:t>de mayo de 1995) En orden a lo anterior, otra característica de la motivación es la particularidad frente a la generalidad. No será entonces una motivación adecuada y suficiente aquella mera invocación generalizada de hechos, citas o antecedentes sino que se torna imperativo una especificidad propia de análisis para el acto en concreto. Así, certeza y seguridad jurídica son también consecuencias propias de la motivación frente al ejercicio del poder de los servidores públicos. Es evidente que el anterior razonamiento no escapa, sino que se intensifica frente a decisiones administrativas en el campo técnico- especializado. Con mayor razón, un Administrado promedio, frente a la respectiva decisión, debe tener claridad en el motivo de una decisión que le puede incidir directamente. Si bien, lo que se decida pueda partir de un análisis profundo y que en principio escape del conocimiento del lego en la materia, el razonamiento empleado debe contar con las características ut supra para que, o bien, se pueda acceder a otros criterios adicionales para comprender la procedencia, legalidad, aplicabilidad y efectos de la decisión o para que al menos, se pueda comprender que ésta partió de un estudio serio y concienzudo en donde se analizó todos los extremos de la petición que dio origen al procedimiento administrativo con que se sustentó el respectivo acto administrativo. Así, la especialización de la decisión, no releva a la Administración de su deber de motivación plena, integral, clara y suficiente y más bien, le obliga a ser especialmente cuidadosa en este elemento de su conducta, mediante el apoyo de los profesionales cualificados que tenga a su alcance. Los anteriores razonamientos se deben dimensionar a la luz del denominado "principio de trascendencia", en el tanto que el análisis de la suficiencia de la motivación</w:t>
      </w:r>
      <w:r w:rsidR="00E4027F">
        <w:rPr>
          <w:rFonts w:ascii="Verdana" w:hAnsi="Verdana" w:cs="Verdana"/>
          <w:b/>
          <w:bCs/>
          <w:i/>
          <w:iCs/>
          <w:spacing w:val="1"/>
          <w:sz w:val="16"/>
          <w:szCs w:val="16"/>
          <w:lang w:val="es-ES" w:eastAsia="es-ES"/>
        </w:rPr>
        <w:t xml:space="preserve"> </w:t>
      </w:r>
      <w:r>
        <w:rPr>
          <w:rFonts w:ascii="Verdana" w:hAnsi="Verdana" w:cs="Verdana"/>
          <w:b/>
          <w:bCs/>
          <w:i/>
          <w:iCs/>
          <w:spacing w:val="1"/>
          <w:sz w:val="16"/>
          <w:szCs w:val="16"/>
          <w:lang w:val="es-ES" w:eastAsia="es-ES"/>
        </w:rPr>
        <w:t xml:space="preserve">debe atender a si con su ausencia </w:t>
      </w:r>
      <w:r>
        <w:rPr>
          <w:rFonts w:ascii="Verdana" w:hAnsi="Verdana" w:cs="Verdana"/>
          <w:b/>
          <w:bCs/>
          <w:spacing w:val="1"/>
          <w:sz w:val="16"/>
          <w:szCs w:val="16"/>
          <w:lang w:val="es-ES" w:eastAsia="es-ES"/>
        </w:rPr>
        <w:t xml:space="preserve">se </w:t>
      </w:r>
      <w:r>
        <w:rPr>
          <w:rFonts w:ascii="Verdana" w:hAnsi="Verdana" w:cs="Verdana"/>
          <w:b/>
          <w:bCs/>
          <w:i/>
          <w:iCs/>
          <w:spacing w:val="1"/>
          <w:sz w:val="16"/>
          <w:szCs w:val="16"/>
          <w:lang w:val="es-ES" w:eastAsia="es-ES"/>
        </w:rPr>
        <w:t>está incidiendo tanto el fin del acto como en la esfera de derechos del particular o si por el contrario, a pesar de encontrarse defectuosa o parcial, la fundamentación de alguna manera resulta aún así sostén de la conducta administrativa,</w:t>
      </w:r>
    </w:p>
    <w:p w:rsidR="0042350F" w:rsidRDefault="0042350F">
      <w:pPr>
        <w:widowControl/>
        <w:rPr>
          <w:sz w:val="24"/>
          <w:szCs w:val="24"/>
        </w:rPr>
        <w:sectPr w:rsidR="0042350F">
          <w:pgSz w:w="12134" w:h="15840"/>
          <w:pgMar w:top="1440" w:right="1862" w:bottom="304" w:left="1992" w:header="720" w:footer="720" w:gutter="0"/>
          <w:cols w:space="720"/>
          <w:noEndnote/>
        </w:sectPr>
      </w:pPr>
    </w:p>
    <w:p w:rsidR="0042350F" w:rsidRDefault="0042350F">
      <w:pPr>
        <w:widowControl/>
        <w:rPr>
          <w:sz w:val="24"/>
          <w:szCs w:val="24"/>
        </w:rPr>
        <w:sectPr w:rsidR="0042350F">
          <w:type w:val="continuous"/>
          <w:pgSz w:w="12134" w:h="15840"/>
          <w:pgMar w:top="1440" w:right="1599" w:bottom="304" w:left="8275" w:header="720" w:footer="720" w:gutter="0"/>
          <w:cols w:space="720"/>
          <w:noEndnote/>
        </w:sectPr>
      </w:pPr>
    </w:p>
    <w:p w:rsidR="0042350F" w:rsidRDefault="00E078D2" w:rsidP="00E4027F">
      <w:pPr>
        <w:kinsoku w:val="0"/>
        <w:overflowPunct w:val="0"/>
        <w:autoSpaceDE/>
        <w:autoSpaceDN/>
        <w:adjustRightInd/>
        <w:spacing w:before="3" w:line="197" w:lineRule="exact"/>
        <w:ind w:left="360" w:right="360"/>
        <w:jc w:val="both"/>
        <w:textAlignment w:val="baseline"/>
        <w:rPr>
          <w:rFonts w:ascii="Verdana" w:hAnsi="Verdana" w:cs="Verdana"/>
          <w:b/>
          <w:bCs/>
          <w:i/>
          <w:iCs/>
          <w:sz w:val="16"/>
          <w:szCs w:val="16"/>
          <w:lang w:val="es-ES" w:eastAsia="es-ES"/>
        </w:rPr>
      </w:pPr>
      <w:r>
        <w:rPr>
          <w:rFonts w:ascii="Verdana" w:hAnsi="Verdana" w:cs="Verdana"/>
          <w:b/>
          <w:bCs/>
          <w:i/>
          <w:iCs/>
          <w:sz w:val="16"/>
          <w:szCs w:val="16"/>
          <w:lang w:val="es-ES" w:eastAsia="es-ES"/>
        </w:rPr>
        <w:lastRenderedPageBreak/>
        <w:t>ya sea porque a pesar de todo, se cumple el fin público, el administrado se encuentra en una situación antijurídica o si existen elementos adicionales que puedan contribuir a determinar los alcances de la voluntad administrativa. Es por esta última razón que el artículo 136 de la LGAP citado anteriormente abre la posibilidad de que la motivación</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 xml:space="preserve">se funde en la referencia </w:t>
      </w:r>
      <w:r w:rsidR="00E4027F">
        <w:rPr>
          <w:rFonts w:ascii="Verdana" w:hAnsi="Verdana" w:cs="Verdana"/>
          <w:b/>
          <w:bCs/>
          <w:i/>
          <w:iCs/>
          <w:sz w:val="16"/>
          <w:szCs w:val="16"/>
          <w:lang w:val="es-ES" w:eastAsia="es-ES"/>
        </w:rPr>
        <w:t>explícita</w:t>
      </w:r>
      <w:r>
        <w:rPr>
          <w:rFonts w:ascii="Verdana" w:hAnsi="Verdana" w:cs="Verdana"/>
          <w:b/>
          <w:bCs/>
          <w:i/>
          <w:iCs/>
          <w:sz w:val="16"/>
          <w:szCs w:val="16"/>
          <w:lang w:val="es-ES" w:eastAsia="es-ES"/>
        </w:rPr>
        <w:t xml:space="preserve"> de los motivos de la petición respectiva o de dictámenes determinantes en el acto en particular, siempre que se acompañe copia de él. En este sentido, coherente con el principio de que no resulta procedente la nulidad por la nulidad misma, el análisis de motivación debe atender entonces a la condición de suficiencia para el caso en particular, en el entendido de que la misma debe tener intríseca la eficiencia necesaria para se conozca la razón por la cual se emitió el acto en concreto. En este orden de ideas, el voto 001266-F-S1-2012 de las diez horas cinco minutos del cuatro de octubre de dos mil doce de la Sala Primera de la Corte Suprema de Justicia resolvió: "....debe</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considerarse</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que</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la motivación constituye</w:t>
      </w:r>
      <w:r>
        <w:rPr>
          <w:rFonts w:ascii="Verdana" w:hAnsi="Verdana" w:cs="Verdana"/>
          <w:b/>
          <w:bCs/>
          <w:i/>
          <w:iCs/>
          <w:sz w:val="16"/>
          <w:szCs w:val="16"/>
          <w:lang w:val="es-ES" w:eastAsia="es-ES"/>
        </w:rPr>
        <w:tab/>
        <w:t>un</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elemento</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formal</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de</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todo acto dministrativo, de lo que se sigue que cualquier decisión de la Administración debe estar fundamentada, la cual puede ser más o menos detallada según el objeto sobre el cual verse la decisión del órgano competente. En este sentido, existe una intrínseca relación entre motivación y motivo (elemento material objetivo), toda vez que la primera debe permitir el conocimiento del segundo, pero ello en la medida en que resulta esencial para la comprensión y revisión del contenido dispuesto en el acto, y que a la postre define su efecto. Ahora bien, de conformidad con el numeral 136 de la LGAP, la motivación puede ser "sucinta" e incluso "podrá consistir en la referencia explícita o inequívoca a los motivos de la petición del administrado, o bien a propuestas, dictámenes o resoluciones previas". Claro está, también se dispone en la norma de comentario que en este último supuesto, estas deben ser comunicadas; ello con la finalidad de permitir el conocimiento y la apreciación de los sustentos, fácticos y jurídicos, sobre los que se basa la decisión adoptada. De lo expuesto se sigue que la falta de motivación viciaría el acto en la medida en que resulten incognoscibles las razones por las cuales se dispuso un determinado efecto jurídico (contenido del acto). En la especie, lleva razón el recurrente en cuanto a que el oficio URCO-0785-09 no explicita su fundamentación, sin embargo, en atención a la naturaleza misma de lo que se comunicó, ello resultaba innecesario, toda vez que se ratifica, según la buena fe negocia/, el término de la vigencia del contrato originalmente pactada, descartando la expectativa que podía existir en cuanto a la posibilidad de una prórroga". De conformidad con los anteriores razonamientos, todo análisis que haga el Tribunal de la</w:t>
      </w:r>
      <w:r w:rsidR="00E4027F">
        <w:rPr>
          <w:rFonts w:ascii="Verdana" w:hAnsi="Verdana" w:cs="Verdana"/>
          <w:b/>
          <w:bCs/>
          <w:i/>
          <w:iCs/>
          <w:sz w:val="16"/>
          <w:szCs w:val="16"/>
          <w:lang w:val="es-ES" w:eastAsia="es-ES"/>
        </w:rPr>
        <w:t xml:space="preserve"> </w:t>
      </w:r>
      <w:r>
        <w:rPr>
          <w:rFonts w:ascii="Verdana" w:hAnsi="Verdana" w:cs="Verdana"/>
          <w:b/>
          <w:bCs/>
          <w:i/>
          <w:iCs/>
          <w:sz w:val="16"/>
          <w:szCs w:val="16"/>
          <w:lang w:val="es-ES" w:eastAsia="es-ES"/>
        </w:rPr>
        <w:t>motivación de uno o varios actos en particular, atendiendo a las pretensiones de una parte, no debe obviar las consideraciones hechas sobre los alcances y condiciones de este elemento de la conducta administrativa formal, en atención a determinar si la misma se encuentra o no viciada de nulidad."</w:t>
      </w:r>
    </w:p>
    <w:p w:rsidR="0042350F" w:rsidRDefault="00E078D2">
      <w:pPr>
        <w:kinsoku w:val="0"/>
        <w:overflowPunct w:val="0"/>
        <w:autoSpaceDE/>
        <w:autoSpaceDN/>
        <w:adjustRightInd/>
        <w:spacing w:before="295" w:line="294" w:lineRule="exact"/>
        <w:ind w:left="72" w:right="72"/>
        <w:jc w:val="both"/>
        <w:textAlignment w:val="baseline"/>
        <w:rPr>
          <w:rFonts w:ascii="Verdana" w:hAnsi="Verdana" w:cs="Verdana"/>
          <w:b/>
          <w:bCs/>
          <w:sz w:val="22"/>
          <w:szCs w:val="22"/>
          <w:lang w:val="es-ES" w:eastAsia="es-ES"/>
        </w:rPr>
      </w:pPr>
      <w:r>
        <w:rPr>
          <w:rFonts w:ascii="Verdana" w:hAnsi="Verdana" w:cs="Verdana"/>
          <w:b/>
          <w:bCs/>
          <w:sz w:val="22"/>
          <w:szCs w:val="22"/>
          <w:lang w:val="es-ES" w:eastAsia="es-ES"/>
        </w:rPr>
        <w:t>DE LA SUBORDINACIÓN DEL TRANSPORTE PÚBLICO AL DERECHO PÚBLICO.</w:t>
      </w:r>
    </w:p>
    <w:p w:rsidR="0042350F" w:rsidRDefault="00E078D2">
      <w:pPr>
        <w:kinsoku w:val="0"/>
        <w:overflowPunct w:val="0"/>
        <w:autoSpaceDE/>
        <w:autoSpaceDN/>
        <w:adjustRightInd/>
        <w:spacing w:before="294" w:line="270" w:lineRule="exact"/>
        <w:ind w:left="72" w:right="72"/>
        <w:jc w:val="both"/>
        <w:textAlignment w:val="baseline"/>
        <w:rPr>
          <w:rFonts w:ascii="Verdana" w:hAnsi="Verdana" w:cs="Verdana"/>
          <w:sz w:val="22"/>
          <w:szCs w:val="22"/>
          <w:lang w:val="es-ES" w:eastAsia="es-ES"/>
        </w:rPr>
      </w:pPr>
      <w:r>
        <w:rPr>
          <w:rFonts w:ascii="Verdana" w:hAnsi="Verdana" w:cs="Verdana"/>
          <w:sz w:val="22"/>
          <w:szCs w:val="22"/>
          <w:lang w:val="es-ES" w:eastAsia="es-ES"/>
        </w:rPr>
        <w:t>Con la promulgación de la Ley Reguladora del Servicio Público de Transporte Remunerado de Personas en Vehículos en la Modalidad de Taxi, Ley 7969, le corresponde al Consejo de Transporte Público, el otorgamiento y la administración de las concesiones, así como la regulación de los permisos de operación que otorgue, velar por la calidad de los servicios requeridos, además de conocer, tramitar y resolver, de oficio o a instancia de parte, las denuncias referentes a los comportamientos activos y omisos que violen las normas de la legislación del transporte público, o amenacen con violarlas, ( Art. 7 de esa ley) en general, todo lo relativo a la organización del servicio de transporte remunerado de personas por autobús, siendo entonces que la competencia de dicho Consejo, conlleva el control, vigilancia, regulación y sanción de la actividad cedida, con el objeto de garantizar los intereses del público en general, y la satisfacción del interés común.</w:t>
      </w:r>
    </w:p>
    <w:p w:rsidR="0042350F" w:rsidRDefault="00E078D2">
      <w:pPr>
        <w:kinsoku w:val="0"/>
        <w:overflowPunct w:val="0"/>
        <w:autoSpaceDE/>
        <w:autoSpaceDN/>
        <w:adjustRightInd/>
        <w:spacing w:before="292" w:line="269" w:lineRule="exact"/>
        <w:ind w:left="72" w:right="72"/>
        <w:jc w:val="both"/>
        <w:textAlignment w:val="baseline"/>
        <w:rPr>
          <w:rFonts w:ascii="Verdana" w:hAnsi="Verdana" w:cs="Verdana"/>
          <w:i/>
          <w:iCs/>
          <w:sz w:val="22"/>
          <w:szCs w:val="22"/>
          <w:lang w:val="es-ES" w:eastAsia="es-ES"/>
        </w:rPr>
      </w:pPr>
      <w:r>
        <w:rPr>
          <w:rFonts w:ascii="Verdana" w:hAnsi="Verdana" w:cs="Verdana"/>
          <w:sz w:val="22"/>
          <w:szCs w:val="22"/>
          <w:lang w:val="es-ES" w:eastAsia="es-ES"/>
        </w:rPr>
        <w:t xml:space="preserve">Sobre el particular la doctrina española ha indicado: </w:t>
      </w:r>
      <w:r>
        <w:rPr>
          <w:rFonts w:ascii="Verdana" w:hAnsi="Verdana" w:cs="Verdana"/>
          <w:i/>
          <w:iCs/>
          <w:sz w:val="22"/>
          <w:szCs w:val="22"/>
          <w:lang w:val="es-ES" w:eastAsia="es-ES"/>
        </w:rPr>
        <w:t>"Ese pretendido reforzamiento de la iniciativa privada no impide, sin embargo, la concurrencia de un importante intervencionismo del Estado, justificado por exigencias de</w:t>
      </w:r>
    </w:p>
    <w:p w:rsidR="0042350F" w:rsidRDefault="0042350F">
      <w:pPr>
        <w:widowControl/>
        <w:rPr>
          <w:sz w:val="24"/>
          <w:szCs w:val="24"/>
        </w:rPr>
        <w:sectPr w:rsidR="0042350F">
          <w:pgSz w:w="12134" w:h="15840"/>
          <w:pgMar w:top="1440" w:right="1538" w:bottom="324" w:left="1596" w:header="720" w:footer="720" w:gutter="0"/>
          <w:cols w:space="720"/>
          <w:noEndnote/>
        </w:sectPr>
      </w:pPr>
    </w:p>
    <w:p w:rsidR="0042350F" w:rsidRDefault="00E078D2">
      <w:pPr>
        <w:kinsoku w:val="0"/>
        <w:overflowPunct w:val="0"/>
        <w:autoSpaceDE/>
        <w:autoSpaceDN/>
        <w:adjustRightInd/>
        <w:spacing w:before="18" w:line="271" w:lineRule="exact"/>
        <w:ind w:right="72"/>
        <w:jc w:val="both"/>
        <w:textAlignment w:val="baseline"/>
        <w:rPr>
          <w:rFonts w:ascii="Verdana" w:hAnsi="Verdana" w:cs="Verdana"/>
          <w:spacing w:val="1"/>
          <w:sz w:val="22"/>
          <w:szCs w:val="22"/>
          <w:lang w:val="es-ES" w:eastAsia="es-ES"/>
        </w:rPr>
      </w:pPr>
      <w:r>
        <w:rPr>
          <w:rFonts w:ascii="Verdana" w:hAnsi="Verdana" w:cs="Verdana"/>
          <w:i/>
          <w:iCs/>
          <w:spacing w:val="1"/>
          <w:sz w:val="22"/>
          <w:szCs w:val="22"/>
          <w:lang w:val="es-ES" w:eastAsia="es-ES"/>
        </w:rPr>
        <w:lastRenderedPageBreak/>
        <w:t xml:space="preserve">política económica y que se manifiesta en la ordenación del sector, tanto normativa, con la aprobación de la propia regulación legal, como también ejecutiva o administrativa, referida al ejercicio o funcionamiento de la actividad. El Estado se reserva la facultad de modificar, ampliar o suprimir, en cualquier momento y teniendo en cuenta el interés público, las líneas de transporte, el ejercicio de la actividad está sometido a la previa obtención de títulos administrativos habilitantes, bien concesión o bien autorización administrativas; la intervención administrativa en la fijación de tarifas; y, en último término, se estatuye un régimen de inspección y sancionador." </w:t>
      </w:r>
      <w:r>
        <w:rPr>
          <w:rFonts w:ascii="Verdana" w:hAnsi="Verdana" w:cs="Verdana"/>
          <w:spacing w:val="1"/>
          <w:sz w:val="22"/>
          <w:szCs w:val="22"/>
          <w:lang w:val="es-ES" w:eastAsia="es-ES"/>
        </w:rPr>
        <w:t>(El resaltado no es del original) Razquin Lizarraga José Antonio, Derecho Público del Transporte por Carreteras, Editorial Aranzadi S.A., Carretera de Aoiz, kilómetro 3, 5,4 314861 Elcano (Navarra, España) 1995, pags.97 y98.</w:t>
      </w:r>
    </w:p>
    <w:p w:rsidR="0042350F" w:rsidRDefault="00E078D2">
      <w:pPr>
        <w:kinsoku w:val="0"/>
        <w:overflowPunct w:val="0"/>
        <w:autoSpaceDE/>
        <w:autoSpaceDN/>
        <w:adjustRightInd/>
        <w:spacing w:before="296" w:line="271" w:lineRule="exact"/>
        <w:ind w:right="72"/>
        <w:jc w:val="both"/>
        <w:textAlignment w:val="baseline"/>
        <w:rPr>
          <w:rFonts w:ascii="Verdana" w:hAnsi="Verdana" w:cs="Verdana"/>
          <w:sz w:val="22"/>
          <w:szCs w:val="22"/>
          <w:lang w:val="es-ES" w:eastAsia="es-ES"/>
        </w:rPr>
      </w:pPr>
      <w:r>
        <w:rPr>
          <w:rFonts w:ascii="Verdana" w:hAnsi="Verdana" w:cs="Verdana"/>
          <w:sz w:val="22"/>
          <w:szCs w:val="22"/>
          <w:lang w:val="es-ES" w:eastAsia="es-ES"/>
        </w:rPr>
        <w:t>La Sala Constitucional de la Corte Suprema de Justicia, en su sentencia 09676</w:t>
      </w:r>
      <w:r>
        <w:rPr>
          <w:rFonts w:ascii="Verdana" w:hAnsi="Verdana" w:cs="Verdana"/>
          <w:sz w:val="22"/>
          <w:szCs w:val="22"/>
          <w:lang w:val="es-ES" w:eastAsia="es-ES"/>
        </w:rPr>
        <w:softHyphen/>
        <w:t>2001, de las once horas, veinticinco minutos, del veintiséis de setiembre de dos mil uno, al respecto, manifestó:</w:t>
      </w:r>
    </w:p>
    <w:p w:rsidR="0042350F" w:rsidRDefault="00E078D2">
      <w:pPr>
        <w:kinsoku w:val="0"/>
        <w:overflowPunct w:val="0"/>
        <w:autoSpaceDE/>
        <w:autoSpaceDN/>
        <w:adjustRightInd/>
        <w:spacing w:before="829" w:line="271" w:lineRule="exact"/>
        <w:ind w:left="576" w:right="648"/>
        <w:jc w:val="both"/>
        <w:textAlignment w:val="baseline"/>
        <w:rPr>
          <w:rFonts w:ascii="Verdana" w:hAnsi="Verdana" w:cs="Verdana"/>
          <w:i/>
          <w:iCs/>
          <w:sz w:val="22"/>
          <w:szCs w:val="22"/>
          <w:lang w:val="es-ES" w:eastAsia="es-ES"/>
        </w:rPr>
      </w:pPr>
      <w:r>
        <w:rPr>
          <w:rFonts w:ascii="Verdana" w:hAnsi="Verdana" w:cs="Verdana"/>
          <w:b/>
          <w:bCs/>
          <w:i/>
          <w:iCs/>
          <w:sz w:val="22"/>
          <w:szCs w:val="22"/>
          <w:lang w:val="es-ES" w:eastAsia="es-ES"/>
        </w:rPr>
        <w:t xml:space="preserve">DE LA SUBORDINACIÓN AL DERECHO PÚBLICO Y POTESTADES DE IMPERIO DE LA ADMINISTRACIÓN. </w:t>
      </w:r>
      <w:r>
        <w:rPr>
          <w:rFonts w:ascii="Verdana" w:hAnsi="Verdana" w:cs="Verdana"/>
          <w:i/>
          <w:iCs/>
          <w:sz w:val="22"/>
          <w:szCs w:val="22"/>
          <w:lang w:val="es-ES" w:eastAsia="es-ES"/>
        </w:rPr>
        <w:t>A partir de la anterior definición, es que pueden determinarse dos elementos determinantes de los servicios públicos. Para algunos, lo esencial es el fin perseguido, teniendo por tal, la satisfacción de la necesidad o del interés general, para cuyo fin fue creado, sea a través de la Administración o por intermedio de los particulares (concesionarios), que de otra forma, quedaría insatisfecha, mal satisfecha o insuficientemente insatisfecha. Sin embargo, para otros, el elemento esencial y distintivo es la sujeción (o "encuadre") de esta actividad al régimen del Derecho Público, esto es, a normas de sujeción y subordinación en lo que se refiere a la regulación de la actividad (tarifa de precios, control de calidad, fiscalización por parte de la Administración, reglamentación de la actividad), aún cuando no existan normas expresas que así lo establezcan, precisamente en virtud del interés público que se intenta satisfacer. En el Derecho Público la Administración está dotada de especiales prerrogativas, toda vez que en virtud del contrato, el concesionario queda sujeto (o subordinado a la Administración):</w:t>
      </w:r>
    </w:p>
    <w:p w:rsidR="0042350F" w:rsidRDefault="00E078D2">
      <w:pPr>
        <w:kinsoku w:val="0"/>
        <w:overflowPunct w:val="0"/>
        <w:autoSpaceDE/>
        <w:autoSpaceDN/>
        <w:adjustRightInd/>
        <w:spacing w:before="286" w:after="393" w:line="271" w:lineRule="exact"/>
        <w:ind w:left="576" w:right="648"/>
        <w:jc w:val="both"/>
        <w:textAlignment w:val="baseline"/>
        <w:rPr>
          <w:rFonts w:ascii="Verdana" w:hAnsi="Verdana" w:cs="Verdana"/>
          <w:i/>
          <w:iCs/>
          <w:spacing w:val="6"/>
          <w:sz w:val="22"/>
          <w:szCs w:val="22"/>
          <w:lang w:val="es-ES" w:eastAsia="es-ES"/>
        </w:rPr>
      </w:pPr>
      <w:r>
        <w:rPr>
          <w:rFonts w:ascii="Verdana" w:hAnsi="Verdana" w:cs="Verdana"/>
          <w:i/>
          <w:iCs/>
          <w:spacing w:val="6"/>
          <w:sz w:val="22"/>
          <w:szCs w:val="22"/>
          <w:lang w:val="es-ES" w:eastAsia="es-ES"/>
        </w:rPr>
        <w:t>"Es así como ésta [la Administración], dentro de ciertos límites, puede ejercer sobre su cocontratante un cierto control de alcance excepcional; puede modificar unilateralmente las cláusulas del contrato; puede dar directrices a la otra parte; incluso puede declarar extinguido el contrato; etc. Trátase de reglas generales aplicables a todo contrato administrativo, por ser ellas inherentes a la naturaleza de tales contratos, en los cuales pierde gran parte de su imperio el viejo principio, tan invocado en derecho privado, de que el contrato constituye la ley inmutable entre las partes"</w:t>
      </w:r>
    </w:p>
    <w:p w:rsidR="0042350F" w:rsidRDefault="0042350F">
      <w:pPr>
        <w:widowControl/>
        <w:rPr>
          <w:sz w:val="24"/>
          <w:szCs w:val="24"/>
        </w:rPr>
        <w:sectPr w:rsidR="0042350F">
          <w:pgSz w:w="12134" w:h="15840"/>
          <w:pgMar w:top="1400" w:right="1468" w:bottom="344" w:left="1666" w:header="720" w:footer="720" w:gutter="0"/>
          <w:cols w:space="720"/>
          <w:noEndnote/>
        </w:sectPr>
      </w:pPr>
    </w:p>
    <w:p w:rsidR="0042350F" w:rsidRDefault="0042350F">
      <w:pPr>
        <w:widowControl/>
        <w:rPr>
          <w:sz w:val="24"/>
          <w:szCs w:val="24"/>
        </w:rPr>
        <w:sectPr w:rsidR="0042350F">
          <w:type w:val="continuous"/>
          <w:pgSz w:w="12134" w:h="15840"/>
          <w:pgMar w:top="1400" w:right="1468" w:bottom="344" w:left="8293" w:header="720" w:footer="720" w:gutter="0"/>
          <w:cols w:space="720"/>
          <w:noEndnote/>
        </w:sectPr>
      </w:pPr>
    </w:p>
    <w:p w:rsidR="0042350F" w:rsidRDefault="00E078D2">
      <w:pPr>
        <w:kinsoku w:val="0"/>
        <w:overflowPunct w:val="0"/>
        <w:autoSpaceDE/>
        <w:autoSpaceDN/>
        <w:adjustRightInd/>
        <w:spacing w:before="13" w:line="272" w:lineRule="exact"/>
        <w:ind w:right="144"/>
        <w:jc w:val="both"/>
        <w:textAlignment w:val="baseline"/>
        <w:rPr>
          <w:rFonts w:ascii="Verdana" w:hAnsi="Verdana" w:cs="Verdana"/>
          <w:i/>
          <w:iCs/>
          <w:sz w:val="22"/>
          <w:szCs w:val="22"/>
          <w:lang w:val="es-ES" w:eastAsia="es-ES"/>
        </w:rPr>
      </w:pPr>
      <w:r>
        <w:rPr>
          <w:rFonts w:ascii="Verdana" w:hAnsi="Verdana" w:cs="Verdana"/>
          <w:i/>
          <w:iCs/>
          <w:sz w:val="22"/>
          <w:szCs w:val="22"/>
          <w:lang w:val="es-ES" w:eastAsia="es-ES"/>
        </w:rPr>
        <w:lastRenderedPageBreak/>
        <w:t>(Sentencia número 5403-95, de las dieciséis horas seis minutos del tres de octubre de mil novecientos noventa y cinco).</w:t>
      </w:r>
    </w:p>
    <w:p w:rsidR="0042350F" w:rsidRDefault="00E078D2">
      <w:pPr>
        <w:kinsoku w:val="0"/>
        <w:overflowPunct w:val="0"/>
        <w:autoSpaceDE/>
        <w:autoSpaceDN/>
        <w:adjustRightInd/>
        <w:spacing w:before="263" w:line="272" w:lineRule="exact"/>
        <w:ind w:right="144"/>
        <w:jc w:val="both"/>
        <w:textAlignment w:val="baseline"/>
        <w:rPr>
          <w:rFonts w:ascii="Verdana" w:hAnsi="Verdana" w:cs="Verdana"/>
          <w:i/>
          <w:iCs/>
          <w:spacing w:val="1"/>
          <w:sz w:val="22"/>
          <w:szCs w:val="22"/>
          <w:lang w:val="es-ES" w:eastAsia="es-ES"/>
        </w:rPr>
      </w:pPr>
      <w:r>
        <w:rPr>
          <w:rFonts w:ascii="Verdana" w:hAnsi="Verdana" w:cs="Verdana"/>
          <w:i/>
          <w:iCs/>
          <w:spacing w:val="1"/>
          <w:sz w:val="22"/>
          <w:szCs w:val="22"/>
          <w:lang w:val="es-ES" w:eastAsia="es-ES"/>
        </w:rPr>
        <w:t>Se trata de manifestaciones de la potestad de imperio que le es propia, y que encuentra su justificación de ser en la necesidad de ejercer un especial control en la realización de los servicios públicos, precisamente en virtud del interés general que se intenta satisfacer a través de ellos, y por el interés público que hay de por medio. Es un control estatal esencialmente diverso del que se realiza sobre la actividad de las personas particulares en ejercicio del poder de policía en general, porque, en principio, éste se realiza sobre actividades que no salen del ámbito del derecho privado, de modo que la actividad del particular no sale de su personal y concreta esfera u órbita privada, y únicamente el Estado interviene, cuando a través de esa actividad se lesiona el derecho de otro particular o el interés público (caso de los salones de baile que ponen el volumen de la música muy alto, alterando la paz del vecindario a altas horas de la noche, o que permite el ingreso de menores de edad). Por su parte, el control ejercido sobre los servicios públicos es diferente en su fundamento y finalidad, toda vez que a través de él se intenta garantizar la continuidad en la prestación del servicio público. Como su esencia es fundamentalmente pública -al referirse a actividades que se ubican en el campo del Derecho Público-, su control es más intenso y riguroso, al pretender impedir que la actividad desplegada por el concesionario -lícitamente desarrollada- lesione o dañe el interés general. Es así, como en última instancia, el control que la Administración despliega en este campo se refiere a la defensa del interés público vinculado a esas actividades, motivo por el cual resulta procedente la aplicación de sanciones a comportamientos contrarios a esos fines, y que se justifican por el poder de subordinación en que se encuentran los concesionarios frente al Estado.</w:t>
      </w:r>
    </w:p>
    <w:p w:rsidR="0042350F" w:rsidRDefault="00E078D2">
      <w:pPr>
        <w:kinsoku w:val="0"/>
        <w:overflowPunct w:val="0"/>
        <w:autoSpaceDE/>
        <w:autoSpaceDN/>
        <w:adjustRightInd/>
        <w:spacing w:before="274" w:after="378" w:line="272" w:lineRule="exact"/>
        <w:ind w:right="144"/>
        <w:jc w:val="both"/>
        <w:textAlignment w:val="baseline"/>
        <w:rPr>
          <w:rFonts w:ascii="Verdana" w:hAnsi="Verdana" w:cs="Verdana"/>
          <w:i/>
          <w:iCs/>
          <w:sz w:val="22"/>
          <w:szCs w:val="22"/>
          <w:lang w:val="es-ES" w:eastAsia="es-ES"/>
        </w:rPr>
      </w:pPr>
      <w:r>
        <w:rPr>
          <w:rFonts w:ascii="Verdana" w:hAnsi="Verdana" w:cs="Verdana"/>
          <w:b/>
          <w:bCs/>
          <w:i/>
          <w:iCs/>
          <w:sz w:val="22"/>
          <w:szCs w:val="22"/>
          <w:lang w:val="es-ES" w:eastAsia="es-ES"/>
        </w:rPr>
        <w:t xml:space="preserve">DE LOS PRINCIPIOS JURÍDICOS QUE ORIENTAN LA PRESTACIÓN DE LOS SERVICIOS PÚBLICOS. </w:t>
      </w:r>
      <w:r>
        <w:rPr>
          <w:rFonts w:ascii="Verdana" w:hAnsi="Verdana" w:cs="Verdana"/>
          <w:i/>
          <w:iCs/>
          <w:sz w:val="22"/>
          <w:szCs w:val="22"/>
          <w:lang w:val="es-ES" w:eastAsia="es-ES"/>
        </w:rPr>
        <w:t xml:space="preserve">Son los caracteres jurídicos de los servicios públicos los que determinan la esencia de su prestación, sin los cuales la noción de servicio público quedaría desvirtuada. Comprende los siguientes: 1.- </w:t>
      </w:r>
      <w:r>
        <w:rPr>
          <w:rFonts w:ascii="Verdana" w:hAnsi="Verdana" w:cs="Verdana"/>
          <w:i/>
          <w:iCs/>
          <w:sz w:val="22"/>
          <w:szCs w:val="22"/>
          <w:u w:val="single"/>
          <w:lang w:val="es-ES" w:eastAsia="es-ES"/>
        </w:rPr>
        <w:t>la continuidad,</w:t>
      </w:r>
      <w:r>
        <w:rPr>
          <w:rFonts w:ascii="Verdana" w:hAnsi="Verdana" w:cs="Verdana"/>
          <w:i/>
          <w:iCs/>
          <w:sz w:val="22"/>
          <w:szCs w:val="22"/>
          <w:lang w:val="es-ES" w:eastAsia="es-ES"/>
        </w:rPr>
        <w:t xml:space="preserve"> de donde, debe adoptarse toda medida necesaria para impedir que la prestación efectiva y eficiente se lesione, es decir, que quien preste el servicio no debe realizar acto alguno que comprometa la eficacia y continuidad en la prestación del servicio público, para garantizar la prestación sin interrupción alguna, para que la prestación sea oportuna. Coadyuvan a este carácter la prohibición de la huelga de los trabajadores que lo prestan o el paro patronal; la teoría de la imprevisión, la prohibición de la ejecución forzosa, y la ejecución directa o rescisión de la concesión; 2.- </w:t>
      </w:r>
      <w:r>
        <w:rPr>
          <w:rFonts w:ascii="Verdana" w:hAnsi="Verdana" w:cs="Verdana"/>
          <w:i/>
          <w:iCs/>
          <w:sz w:val="22"/>
          <w:szCs w:val="22"/>
          <w:u w:val="single"/>
          <w:lang w:val="es-ES" w:eastAsia="es-ES"/>
        </w:rPr>
        <w:t>la regularidad:</w:t>
      </w:r>
      <w:r>
        <w:rPr>
          <w:rFonts w:ascii="Verdana" w:hAnsi="Verdana" w:cs="Verdana"/>
          <w:i/>
          <w:iCs/>
          <w:sz w:val="22"/>
          <w:szCs w:val="22"/>
          <w:lang w:val="es-ES" w:eastAsia="es-ES"/>
        </w:rPr>
        <w:t xml:space="preserve"> que supedita la prestación del servicio a la sumisión de las normas positivas y</w:t>
      </w:r>
    </w:p>
    <w:p w:rsidR="0042350F" w:rsidRDefault="0042350F">
      <w:pPr>
        <w:widowControl/>
        <w:rPr>
          <w:sz w:val="24"/>
          <w:szCs w:val="24"/>
        </w:rPr>
        <w:sectPr w:rsidR="0042350F">
          <w:pgSz w:w="12134" w:h="15840"/>
          <w:pgMar w:top="1420" w:right="2044" w:bottom="344" w:left="2170" w:header="720" w:footer="720" w:gutter="0"/>
          <w:cols w:space="720"/>
          <w:noEndnote/>
        </w:sectPr>
      </w:pPr>
    </w:p>
    <w:p w:rsidR="0042350F" w:rsidRDefault="0042350F">
      <w:pPr>
        <w:widowControl/>
        <w:rPr>
          <w:sz w:val="24"/>
          <w:szCs w:val="24"/>
        </w:rPr>
        <w:sectPr w:rsidR="0042350F">
          <w:type w:val="continuous"/>
          <w:pgSz w:w="12134" w:h="15840"/>
          <w:pgMar w:top="1420" w:right="1558" w:bottom="344" w:left="8203" w:header="720" w:footer="720" w:gutter="0"/>
          <w:cols w:space="720"/>
          <w:noEndnote/>
        </w:sectPr>
      </w:pPr>
    </w:p>
    <w:p w:rsidR="0042350F" w:rsidRDefault="00E078D2">
      <w:pPr>
        <w:kinsoku w:val="0"/>
        <w:overflowPunct w:val="0"/>
        <w:autoSpaceDE/>
        <w:autoSpaceDN/>
        <w:adjustRightInd/>
        <w:spacing w:before="42" w:line="268" w:lineRule="exact"/>
        <w:ind w:left="576" w:right="648"/>
        <w:jc w:val="both"/>
        <w:textAlignment w:val="baseline"/>
        <w:rPr>
          <w:rFonts w:ascii="Verdana" w:hAnsi="Verdana" w:cs="Verdana"/>
          <w:i/>
          <w:iCs/>
          <w:sz w:val="22"/>
          <w:szCs w:val="22"/>
          <w:lang w:val="es-ES" w:eastAsia="es-ES"/>
        </w:rPr>
      </w:pPr>
      <w:r>
        <w:rPr>
          <w:rFonts w:ascii="Verdana" w:hAnsi="Verdana" w:cs="Verdana"/>
          <w:i/>
          <w:iCs/>
          <w:sz w:val="22"/>
          <w:szCs w:val="22"/>
          <w:lang w:val="es-ES" w:eastAsia="es-ES"/>
        </w:rPr>
        <w:lastRenderedPageBreak/>
        <w:t xml:space="preserve">condiciones preestablecidas; 3.- </w:t>
      </w:r>
      <w:r>
        <w:rPr>
          <w:rFonts w:ascii="Verdana" w:hAnsi="Verdana" w:cs="Verdana"/>
          <w:i/>
          <w:iCs/>
          <w:sz w:val="22"/>
          <w:szCs w:val="22"/>
          <w:u w:val="single"/>
          <w:lang w:val="es-ES" w:eastAsia="es-ES"/>
        </w:rPr>
        <w:t>la uniformidad o igualdad:</w:t>
      </w:r>
      <w:r>
        <w:rPr>
          <w:rFonts w:ascii="Verdana" w:hAnsi="Verdana" w:cs="Verdana"/>
          <w:i/>
          <w:iCs/>
          <w:sz w:val="22"/>
          <w:szCs w:val="22"/>
          <w:lang w:val="es-ES" w:eastAsia="es-ES"/>
        </w:rPr>
        <w:t xml:space="preserve"> que garantiza a todos los habitantes el derecho de exigir y recibir el servicio en igualdad de condiciones, de modo, que quienes se encuentren en las mismas condiciones, puedan exigir las mimas ventajas; 4.- </w:t>
      </w:r>
      <w:r>
        <w:rPr>
          <w:rFonts w:ascii="Verdana" w:hAnsi="Verdana" w:cs="Verdana"/>
          <w:i/>
          <w:iCs/>
          <w:sz w:val="22"/>
          <w:szCs w:val="22"/>
          <w:u w:val="single"/>
          <w:lang w:val="es-ES" w:eastAsia="es-ES"/>
        </w:rPr>
        <w:t>la generalidad:</w:t>
      </w:r>
      <w:r>
        <w:rPr>
          <w:rFonts w:ascii="Verdana" w:hAnsi="Verdana" w:cs="Verdana"/>
          <w:i/>
          <w:iCs/>
          <w:sz w:val="22"/>
          <w:szCs w:val="22"/>
          <w:lang w:val="es-ES" w:eastAsia="es-ES"/>
        </w:rPr>
        <w:t xml:space="preserve"> que implica que todos los habitantes tienen derecho a usar el servicio público de acuerdo a las normas que lo rigen; y 5.- </w:t>
      </w:r>
      <w:r>
        <w:rPr>
          <w:rFonts w:ascii="Verdana" w:hAnsi="Verdana" w:cs="Verdana"/>
          <w:i/>
          <w:iCs/>
          <w:sz w:val="22"/>
          <w:szCs w:val="22"/>
          <w:u w:val="single"/>
          <w:lang w:val="es-ES" w:eastAsia="es-ES"/>
        </w:rPr>
        <w:t>la obligatoriedad de la prestación</w:t>
      </w:r>
      <w:r>
        <w:rPr>
          <w:rFonts w:ascii="Verdana" w:hAnsi="Verdana" w:cs="Verdana"/>
          <w:i/>
          <w:iCs/>
          <w:sz w:val="22"/>
          <w:szCs w:val="22"/>
          <w:lang w:val="es-ES" w:eastAsia="es-ES"/>
        </w:rPr>
        <w:t xml:space="preserve"> de parte de quien esté a cargo, y caso contrario constituye falta gravísima, con la correspondiente aplicación de la sanción prevista."</w:t>
      </w:r>
    </w:p>
    <w:p w:rsidR="0042350F" w:rsidRDefault="00E078D2">
      <w:pPr>
        <w:kinsoku w:val="0"/>
        <w:overflowPunct w:val="0"/>
        <w:autoSpaceDE/>
        <w:autoSpaceDN/>
        <w:adjustRightInd/>
        <w:spacing w:before="572" w:line="292" w:lineRule="exact"/>
        <w:ind w:left="72" w:right="72"/>
        <w:textAlignment w:val="baseline"/>
        <w:rPr>
          <w:rFonts w:ascii="Tahoma" w:hAnsi="Tahoma" w:cs="Tahoma"/>
          <w:b/>
          <w:bCs/>
          <w:spacing w:val="8"/>
          <w:sz w:val="25"/>
          <w:szCs w:val="25"/>
          <w:lang w:val="es-ES" w:eastAsia="es-ES"/>
        </w:rPr>
      </w:pPr>
      <w:r>
        <w:rPr>
          <w:rFonts w:ascii="Tahoma" w:hAnsi="Tahoma" w:cs="Tahoma"/>
          <w:b/>
          <w:bCs/>
          <w:spacing w:val="8"/>
          <w:sz w:val="25"/>
          <w:szCs w:val="25"/>
          <w:lang w:val="es-ES" w:eastAsia="es-ES"/>
        </w:rPr>
        <w:t>DEL CASO EN CUESTIÓN</w:t>
      </w:r>
    </w:p>
    <w:p w:rsidR="0042350F" w:rsidRDefault="00E078D2">
      <w:pPr>
        <w:kinsoku w:val="0"/>
        <w:overflowPunct w:val="0"/>
        <w:autoSpaceDE/>
        <w:autoSpaceDN/>
        <w:adjustRightInd/>
        <w:spacing w:before="301" w:line="295" w:lineRule="exact"/>
        <w:ind w:left="72" w:right="72"/>
        <w:jc w:val="both"/>
        <w:textAlignment w:val="baseline"/>
        <w:rPr>
          <w:rFonts w:ascii="Tahoma" w:hAnsi="Tahoma" w:cs="Tahoma"/>
          <w:b/>
          <w:bCs/>
          <w:spacing w:val="11"/>
          <w:sz w:val="25"/>
          <w:szCs w:val="25"/>
          <w:lang w:val="es-ES" w:eastAsia="es-ES"/>
        </w:rPr>
      </w:pPr>
      <w:r>
        <w:rPr>
          <w:rFonts w:ascii="Tahoma" w:hAnsi="Tahoma" w:cs="Tahoma"/>
          <w:spacing w:val="11"/>
          <w:sz w:val="25"/>
          <w:szCs w:val="25"/>
          <w:lang w:val="es-ES" w:eastAsia="es-ES"/>
        </w:rPr>
        <w:t>La empresa T</w:t>
      </w:r>
      <w:r w:rsidR="00E4027F">
        <w:rPr>
          <w:rFonts w:ascii="Tahoma" w:hAnsi="Tahoma" w:cs="Tahoma"/>
          <w:spacing w:val="11"/>
          <w:sz w:val="25"/>
          <w:szCs w:val="25"/>
          <w:lang w:val="es-ES" w:eastAsia="es-ES"/>
        </w:rPr>
        <w:t>.</w:t>
      </w:r>
      <w:r>
        <w:rPr>
          <w:rFonts w:ascii="Tahoma" w:hAnsi="Tahoma" w:cs="Tahoma"/>
          <w:spacing w:val="11"/>
          <w:sz w:val="25"/>
          <w:szCs w:val="25"/>
          <w:lang w:val="es-ES" w:eastAsia="es-ES"/>
        </w:rPr>
        <w:t>M</w:t>
      </w:r>
      <w:r w:rsidR="00E4027F">
        <w:rPr>
          <w:rFonts w:ascii="Tahoma" w:hAnsi="Tahoma" w:cs="Tahoma"/>
          <w:spacing w:val="11"/>
          <w:sz w:val="25"/>
          <w:szCs w:val="25"/>
          <w:lang w:val="es-ES" w:eastAsia="es-ES"/>
        </w:rPr>
        <w:t>.S</w:t>
      </w:r>
      <w:r>
        <w:rPr>
          <w:rFonts w:ascii="Tahoma" w:hAnsi="Tahoma" w:cs="Tahoma"/>
          <w:spacing w:val="11"/>
          <w:sz w:val="25"/>
          <w:szCs w:val="25"/>
          <w:lang w:val="es-ES" w:eastAsia="es-ES"/>
        </w:rPr>
        <w:t xml:space="preserve">.A. impugna el acuerdo 7.8 de la Sesión Ordinaria 78-2013, celebrada por la Junta Directiva del Consejo de Transporte Público, el 24 de octubre del 2013 argumentando en síntesis, que informe técnico en que se sustento el </w:t>
      </w:r>
      <w:r>
        <w:rPr>
          <w:rFonts w:ascii="Tahoma" w:hAnsi="Tahoma" w:cs="Tahoma"/>
          <w:b/>
          <w:bCs/>
          <w:spacing w:val="11"/>
          <w:sz w:val="25"/>
          <w:szCs w:val="25"/>
          <w:lang w:val="es-ES" w:eastAsia="es-ES"/>
        </w:rPr>
        <w:t xml:space="preserve">DING 13-1737, </w:t>
      </w:r>
      <w:r>
        <w:rPr>
          <w:rFonts w:ascii="Tahoma" w:hAnsi="Tahoma" w:cs="Tahoma"/>
          <w:spacing w:val="11"/>
          <w:sz w:val="25"/>
          <w:szCs w:val="25"/>
          <w:lang w:val="es-ES" w:eastAsia="es-ES"/>
        </w:rPr>
        <w:t xml:space="preserve">del Departamento de Ingeniería, tiene serios yerros metodológicos, tiene implícito un favoritismo respecto de la empresa que opera las rutas 137 y 185, y además no cumple con lo ordenado por la Junta Directiva </w:t>
      </w:r>
      <w:r>
        <w:rPr>
          <w:rFonts w:ascii="Tahoma" w:hAnsi="Tahoma" w:cs="Tahoma"/>
          <w:b/>
          <w:bCs/>
          <w:spacing w:val="11"/>
          <w:sz w:val="25"/>
          <w:szCs w:val="25"/>
          <w:lang w:val="es-ES" w:eastAsia="es-ES"/>
        </w:rPr>
        <w:t>en su artículo 6.5 de la Sesión ordinaria 79-2012.</w:t>
      </w:r>
    </w:p>
    <w:p w:rsidR="0042350F" w:rsidRDefault="00E078D2">
      <w:pPr>
        <w:kinsoku w:val="0"/>
        <w:overflowPunct w:val="0"/>
        <w:autoSpaceDE/>
        <w:autoSpaceDN/>
        <w:adjustRightInd/>
        <w:spacing w:before="309" w:line="295" w:lineRule="exact"/>
        <w:ind w:left="72" w:right="72"/>
        <w:jc w:val="both"/>
        <w:textAlignment w:val="baseline"/>
        <w:rPr>
          <w:rFonts w:ascii="Tahoma" w:hAnsi="Tahoma" w:cs="Tahoma"/>
          <w:sz w:val="25"/>
          <w:szCs w:val="25"/>
          <w:lang w:val="es-ES" w:eastAsia="es-ES"/>
        </w:rPr>
      </w:pPr>
      <w:r>
        <w:rPr>
          <w:rFonts w:ascii="Tahoma" w:hAnsi="Tahoma" w:cs="Tahoma"/>
          <w:sz w:val="25"/>
          <w:szCs w:val="25"/>
          <w:lang w:val="es-ES" w:eastAsia="es-ES"/>
        </w:rPr>
        <w:t>Lo anterior según la recurrente hace incurrir al acto impugnado en vicios de nulidad ya que al apartarse del fin para el cual fue propuesto se vicia su contenido y por ende su motivación.</w:t>
      </w:r>
    </w:p>
    <w:p w:rsidR="0042350F" w:rsidRDefault="00E078D2">
      <w:pPr>
        <w:kinsoku w:val="0"/>
        <w:overflowPunct w:val="0"/>
        <w:autoSpaceDE/>
        <w:autoSpaceDN/>
        <w:adjustRightInd/>
        <w:spacing w:before="304" w:line="295" w:lineRule="exact"/>
        <w:ind w:left="72" w:right="72"/>
        <w:jc w:val="both"/>
        <w:textAlignment w:val="baseline"/>
        <w:rPr>
          <w:rFonts w:ascii="Tahoma" w:hAnsi="Tahoma" w:cs="Tahoma"/>
          <w:spacing w:val="10"/>
          <w:sz w:val="25"/>
          <w:szCs w:val="25"/>
          <w:lang w:val="es-ES" w:eastAsia="es-ES"/>
        </w:rPr>
      </w:pPr>
      <w:r>
        <w:rPr>
          <w:rFonts w:ascii="Tahoma" w:hAnsi="Tahoma" w:cs="Tahoma"/>
          <w:spacing w:val="10"/>
          <w:sz w:val="25"/>
          <w:szCs w:val="25"/>
          <w:lang w:val="es-ES" w:eastAsia="es-ES"/>
        </w:rPr>
        <w:t>En resumen la recurrente entre otros manifiesta que mediante acuerdo 6.5 adoptado por la Junta Directiva del CTP en la Sesión 79-2012 del 14 de noviembre de 2012 se ordena al departamento de Ingeniería del CTP realizar un estudio técnico integral sobre la demanda de servicio público de transporte remunerado de personas en la modalidad de autobuses de la zona de Las Rosas, INVU, El Clavel y Los Chiles y sobre la operación de las rutas 140, 137 y 185 con la finalidad de determinar a quién le corresponde la atención de la demanda del servicio público en las localidades indicadas. Mediante informe DING-13-1737 del Departamento de Ingeniería y suscrito por el señor Ronny Barrantes Bolandi se indica el 6 de setiembre de 2013, que se rinde en cumplimiento de lo ordenado en acuerdo 6.5 de la Sesión Ordinaria 79</w:t>
      </w:r>
      <w:r>
        <w:rPr>
          <w:rFonts w:ascii="Tahoma" w:hAnsi="Tahoma" w:cs="Tahoma"/>
          <w:spacing w:val="10"/>
          <w:sz w:val="25"/>
          <w:szCs w:val="25"/>
          <w:lang w:val="es-ES" w:eastAsia="es-ES"/>
        </w:rPr>
        <w:softHyphen/>
        <w:t>2012 del 14 de noviembre de 2012. Pero la realidad es que el informe descrito incumple más bien lo ordenado en acuerdo descrito ya que en lugar de realizar un estudio integral sobre la demanda de servicios en las localidades indicadas supra y la operación de las rutas referidas, para determinar a quién le corresponde la atención de las localidades Las Rosas, Invú, El clavel y Los Chiles, lo que se efectúa es un estudio técnico parcial y parcializado de los operadores de las rutas involucradas</w:t>
      </w:r>
    </w:p>
    <w:p w:rsidR="0042350F" w:rsidRDefault="0042350F">
      <w:pPr>
        <w:widowControl/>
        <w:rPr>
          <w:sz w:val="24"/>
          <w:szCs w:val="24"/>
        </w:rPr>
        <w:sectPr w:rsidR="0042350F">
          <w:pgSz w:w="12134" w:h="15840"/>
          <w:pgMar w:top="1400" w:right="1509" w:bottom="364" w:left="1625" w:header="720" w:footer="720" w:gutter="0"/>
          <w:cols w:space="720"/>
          <w:noEndnote/>
        </w:sectPr>
      </w:pPr>
    </w:p>
    <w:p w:rsidR="0042350F" w:rsidRDefault="00E078D2">
      <w:pPr>
        <w:kinsoku w:val="0"/>
        <w:overflowPunct w:val="0"/>
        <w:autoSpaceDE/>
        <w:autoSpaceDN/>
        <w:adjustRightInd/>
        <w:spacing w:before="10" w:line="296" w:lineRule="exact"/>
        <w:ind w:left="72" w:right="72"/>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entre el corredor comprendido entre la localidad de los Chiles y el cruce del Colegio Pedagógico José Breideroff. El estudio que culmina en el informe DING-13-1737 y que es el sustento del acto 7.38 de la Sesión Ordinaria 78-2013 de 24 de octubre de 2013 es contrario a la técnica y la ciencia y el acto referido carece de la debida motivación. El objeto del recurso que presenta es que se declare la nulidad tanto del informe como del acto referido supra ya que ambos son contrarios a la Legalidad y por adolecer ambos de vicios por falta de fundamentación existiendo una incongruencia evidente entre el motivo, contenido y el fin de ambos actos administrativos.</w:t>
      </w:r>
    </w:p>
    <w:p w:rsidR="0042350F" w:rsidRDefault="00E078D2">
      <w:pPr>
        <w:kinsoku w:val="0"/>
        <w:overflowPunct w:val="0"/>
        <w:autoSpaceDE/>
        <w:autoSpaceDN/>
        <w:adjustRightInd/>
        <w:spacing w:before="613" w:line="295" w:lineRule="exact"/>
        <w:ind w:left="72" w:right="72"/>
        <w:jc w:val="both"/>
        <w:textAlignment w:val="baseline"/>
        <w:rPr>
          <w:rFonts w:ascii="Verdana" w:hAnsi="Verdana" w:cs="Verdana"/>
          <w:spacing w:val="1"/>
          <w:sz w:val="24"/>
          <w:szCs w:val="24"/>
          <w:lang w:val="es-ES" w:eastAsia="es-ES"/>
        </w:rPr>
      </w:pPr>
      <w:r>
        <w:rPr>
          <w:rFonts w:ascii="Verdana" w:hAnsi="Verdana" w:cs="Verdana"/>
          <w:spacing w:val="1"/>
          <w:sz w:val="24"/>
          <w:szCs w:val="24"/>
          <w:lang w:val="es-ES" w:eastAsia="es-ES"/>
        </w:rPr>
        <w:t xml:space="preserve">Mediante acuerdo 6.5 de la Sesión Ordinaria 79-2012 del 14 de noviembre de 2012, la Junta Directiva del Consejo de Transporte Público determina, </w:t>
      </w:r>
      <w:r>
        <w:rPr>
          <w:rFonts w:ascii="Verdana" w:hAnsi="Verdana" w:cs="Verdana"/>
          <w:b/>
          <w:bCs/>
          <w:i/>
          <w:iCs/>
          <w:spacing w:val="1"/>
          <w:sz w:val="24"/>
          <w:szCs w:val="24"/>
          <w:lang w:val="es-ES" w:eastAsia="es-ES"/>
        </w:rPr>
        <w:t>"denegar la solicitud planteada por la empresa A</w:t>
      </w:r>
      <w:r w:rsidR="00E4027F">
        <w:rPr>
          <w:rFonts w:ascii="Verdana" w:hAnsi="Verdana" w:cs="Verdana"/>
          <w:b/>
          <w:bCs/>
          <w:i/>
          <w:iCs/>
          <w:spacing w:val="1"/>
          <w:sz w:val="24"/>
          <w:szCs w:val="24"/>
          <w:lang w:val="es-ES" w:eastAsia="es-ES"/>
        </w:rPr>
        <w:t>.M.</w:t>
      </w:r>
      <w:r>
        <w:rPr>
          <w:rFonts w:ascii="Verdana" w:hAnsi="Verdana" w:cs="Verdana"/>
          <w:b/>
          <w:bCs/>
          <w:i/>
          <w:iCs/>
          <w:spacing w:val="1"/>
          <w:sz w:val="24"/>
          <w:szCs w:val="24"/>
          <w:lang w:val="es-ES" w:eastAsia="es-ES"/>
        </w:rPr>
        <w:t>S.A. para modificar el recorrido de la Ruta N° 140 y brindar servicio a las localidades de Invu, El clavel, Las Rosas y los Chiles, denegar la solicitud presentada por el señor G</w:t>
      </w:r>
      <w:r w:rsidR="00E4027F">
        <w:rPr>
          <w:rFonts w:ascii="Verdana" w:hAnsi="Verdana" w:cs="Verdana"/>
          <w:b/>
          <w:bCs/>
          <w:i/>
          <w:iCs/>
          <w:spacing w:val="1"/>
          <w:sz w:val="24"/>
          <w:szCs w:val="24"/>
          <w:lang w:val="es-ES" w:eastAsia="es-ES"/>
        </w:rPr>
        <w:t>.F.S.</w:t>
      </w:r>
      <w:r>
        <w:rPr>
          <w:rFonts w:ascii="Verdana" w:hAnsi="Verdana" w:cs="Verdana"/>
          <w:b/>
          <w:bCs/>
          <w:i/>
          <w:iCs/>
          <w:spacing w:val="1"/>
          <w:sz w:val="24"/>
          <w:szCs w:val="24"/>
          <w:lang w:val="es-ES" w:eastAsia="es-ES"/>
        </w:rPr>
        <w:t>, para brindar un servicio urbano entre San Isidro del General y los Chiles como parte de las rutas 137 y 185, Denegar la Solicitud del C</w:t>
      </w:r>
      <w:r w:rsidR="00E4027F">
        <w:rPr>
          <w:rFonts w:ascii="Verdana" w:hAnsi="Verdana" w:cs="Verdana"/>
          <w:b/>
          <w:bCs/>
          <w:i/>
          <w:iCs/>
          <w:spacing w:val="1"/>
          <w:sz w:val="24"/>
          <w:szCs w:val="24"/>
          <w:lang w:val="es-ES" w:eastAsia="es-ES"/>
        </w:rPr>
        <w:t>.D.D.D.I.E.C.</w:t>
      </w:r>
      <w:r>
        <w:rPr>
          <w:rFonts w:ascii="Verdana" w:hAnsi="Verdana" w:cs="Verdana"/>
          <w:b/>
          <w:bCs/>
          <w:i/>
          <w:iCs/>
          <w:spacing w:val="1"/>
          <w:sz w:val="24"/>
          <w:szCs w:val="24"/>
          <w:lang w:val="es-ES" w:eastAsia="es-ES"/>
        </w:rPr>
        <w:t xml:space="preserve">, para autorizar un nuevo servicio desde San Isidro del General y el Invu El clavel, Otorgar al departamento de Ingeniería del consejo un plazo de 30 días, para que remita a su conocimiento un estudio integral sobre la atención de demanda del servicio en las localidades de las Rosas, Invu El Clavel y los Chiles con relación a la operación de las rutas 140, 137 y 185". </w:t>
      </w:r>
      <w:r>
        <w:rPr>
          <w:rFonts w:ascii="Verdana" w:hAnsi="Verdana" w:cs="Verdana"/>
          <w:spacing w:val="1"/>
          <w:sz w:val="24"/>
          <w:szCs w:val="24"/>
          <w:lang w:val="es-ES" w:eastAsia="es-ES"/>
        </w:rPr>
        <w:t>(Léase folio del 139 al 143 del expediente administrativo).</w:t>
      </w:r>
    </w:p>
    <w:p w:rsidR="0042350F" w:rsidRDefault="00E078D2">
      <w:pPr>
        <w:kinsoku w:val="0"/>
        <w:overflowPunct w:val="0"/>
        <w:autoSpaceDE/>
        <w:autoSpaceDN/>
        <w:adjustRightInd/>
        <w:spacing w:before="595" w:after="2497" w:line="295" w:lineRule="exact"/>
        <w:ind w:left="72" w:right="72"/>
        <w:jc w:val="both"/>
        <w:textAlignment w:val="baseline"/>
        <w:rPr>
          <w:rFonts w:ascii="Verdana" w:hAnsi="Verdana" w:cs="Verdana"/>
          <w:b/>
          <w:bCs/>
          <w:i/>
          <w:iCs/>
          <w:sz w:val="24"/>
          <w:szCs w:val="24"/>
          <w:lang w:val="es-ES" w:eastAsia="es-ES"/>
        </w:rPr>
      </w:pPr>
      <w:r>
        <w:rPr>
          <w:rFonts w:ascii="Verdana" w:hAnsi="Verdana" w:cs="Verdana"/>
          <w:sz w:val="24"/>
          <w:szCs w:val="24"/>
          <w:lang w:val="es-ES" w:eastAsia="es-ES"/>
        </w:rPr>
        <w:t xml:space="preserve">Como se colige de lo anterior el Consejo de Transporte Público en el acuerdo referido dispuso </w:t>
      </w:r>
      <w:r>
        <w:rPr>
          <w:rFonts w:ascii="Verdana" w:hAnsi="Verdana" w:cs="Verdana"/>
          <w:sz w:val="24"/>
          <w:szCs w:val="24"/>
          <w:vertAlign w:val="superscript"/>
          <w:lang w:val="es-ES" w:eastAsia="es-ES"/>
        </w:rPr>
        <w:t>1</w:t>
      </w:r>
      <w:r>
        <w:rPr>
          <w:rFonts w:ascii="Verdana" w:hAnsi="Verdana" w:cs="Verdana"/>
          <w:sz w:val="24"/>
          <w:szCs w:val="24"/>
          <w:lang w:val="es-ES" w:eastAsia="es-ES"/>
        </w:rPr>
        <w:t xml:space="preserve">' </w:t>
      </w:r>
      <w:r>
        <w:rPr>
          <w:rFonts w:ascii="Verdana" w:hAnsi="Verdana" w:cs="Verdana"/>
          <w:b/>
          <w:bCs/>
          <w:i/>
          <w:iCs/>
          <w:sz w:val="24"/>
          <w:szCs w:val="24"/>
          <w:lang w:val="es-ES" w:eastAsia="es-ES"/>
        </w:rPr>
        <w:t>Otorgar al departamento de Ingeniería del Consejo un plazo de 30 días, para que remita a su conocimiento un estudio integral sobre la atención de demanda del servicio en las localidades de las Rosas, Invu El Clavel y los Chiles con relación a la operación de las rutas 140, 137 y 185"</w:t>
      </w:r>
    </w:p>
    <w:p w:rsidR="0042350F" w:rsidRDefault="0042350F">
      <w:pPr>
        <w:widowControl/>
        <w:rPr>
          <w:sz w:val="24"/>
          <w:szCs w:val="24"/>
        </w:rPr>
        <w:sectPr w:rsidR="0042350F">
          <w:pgSz w:w="12134" w:h="15840"/>
          <w:pgMar w:top="1400" w:right="1512" w:bottom="344" w:left="1622" w:header="720" w:footer="720" w:gutter="0"/>
          <w:cols w:space="720"/>
          <w:noEndnote/>
        </w:sectPr>
      </w:pPr>
    </w:p>
    <w:p w:rsidR="0042350F" w:rsidRDefault="0042350F">
      <w:pPr>
        <w:kinsoku w:val="0"/>
        <w:overflowPunct w:val="0"/>
        <w:autoSpaceDE/>
        <w:autoSpaceDN/>
        <w:adjustRightInd/>
        <w:spacing w:line="218" w:lineRule="exact"/>
        <w:textAlignment w:val="baseline"/>
        <w:rPr>
          <w:sz w:val="19"/>
          <w:szCs w:val="19"/>
          <w:lang w:val="es-ES" w:eastAsia="es-ES"/>
        </w:rPr>
      </w:pPr>
    </w:p>
    <w:p w:rsidR="0042350F" w:rsidRDefault="0042350F">
      <w:pPr>
        <w:widowControl/>
        <w:rPr>
          <w:sz w:val="24"/>
          <w:szCs w:val="24"/>
        </w:rPr>
        <w:sectPr w:rsidR="0042350F">
          <w:type w:val="continuous"/>
          <w:pgSz w:w="12134" w:h="15840"/>
          <w:pgMar w:top="1400" w:right="1565" w:bottom="344" w:left="8309" w:header="720" w:footer="720" w:gutter="0"/>
          <w:cols w:space="720"/>
          <w:noEndnote/>
        </w:sectPr>
      </w:pPr>
    </w:p>
    <w:p w:rsidR="0042350F" w:rsidRDefault="00E078D2">
      <w:pPr>
        <w:kinsoku w:val="0"/>
        <w:overflowPunct w:val="0"/>
        <w:autoSpaceDE/>
        <w:autoSpaceDN/>
        <w:adjustRightInd/>
        <w:spacing w:before="6" w:line="300" w:lineRule="exact"/>
        <w:ind w:left="72" w:right="72"/>
        <w:jc w:val="both"/>
        <w:textAlignment w:val="baseline"/>
        <w:rPr>
          <w:rFonts w:ascii="Verdana" w:hAnsi="Verdana" w:cs="Verdana"/>
          <w:sz w:val="24"/>
          <w:szCs w:val="24"/>
          <w:lang w:val="es-ES" w:eastAsia="es-ES"/>
        </w:rPr>
      </w:pPr>
      <w:r>
        <w:rPr>
          <w:rFonts w:ascii="Verdana" w:hAnsi="Verdana" w:cs="Verdana"/>
          <w:sz w:val="24"/>
          <w:szCs w:val="24"/>
          <w:lang w:val="es-ES" w:eastAsia="es-ES"/>
        </w:rPr>
        <w:lastRenderedPageBreak/>
        <w:t>Desde esta perspectiva, contrario a lo argumentado por los representantes de la Empresa y analizado, el informe técnico, tenemos que el Departamento de Ingeniería si cumple con lo ordenado por el órgano superior del Consejo.</w:t>
      </w:r>
    </w:p>
    <w:p w:rsidR="0042350F" w:rsidRDefault="00E078D2">
      <w:pPr>
        <w:kinsoku w:val="0"/>
        <w:overflowPunct w:val="0"/>
        <w:autoSpaceDE/>
        <w:autoSpaceDN/>
        <w:adjustRightInd/>
        <w:spacing w:before="569" w:after="417" w:line="296" w:lineRule="exact"/>
        <w:ind w:left="72" w:right="72"/>
        <w:jc w:val="both"/>
        <w:textAlignment w:val="baseline"/>
        <w:rPr>
          <w:rFonts w:ascii="Verdana" w:hAnsi="Verdana" w:cs="Verdana"/>
          <w:i/>
          <w:iCs/>
          <w:spacing w:val="-1"/>
          <w:sz w:val="24"/>
          <w:szCs w:val="24"/>
          <w:lang w:val="es-ES" w:eastAsia="es-ES"/>
        </w:rPr>
      </w:pPr>
      <w:r>
        <w:rPr>
          <w:rFonts w:ascii="Verdana" w:hAnsi="Verdana" w:cs="Verdana"/>
          <w:spacing w:val="-1"/>
          <w:sz w:val="24"/>
          <w:szCs w:val="24"/>
          <w:lang w:val="es-ES" w:eastAsia="es-ES"/>
        </w:rPr>
        <w:t xml:space="preserve">Lo anterior se demuestra al leer un extracto del informe </w:t>
      </w:r>
      <w:r>
        <w:rPr>
          <w:rFonts w:ascii="Verdana" w:hAnsi="Verdana" w:cs="Verdana"/>
          <w:b/>
          <w:bCs/>
          <w:spacing w:val="-1"/>
          <w:sz w:val="24"/>
          <w:szCs w:val="24"/>
          <w:lang w:val="es-ES" w:eastAsia="es-ES"/>
        </w:rPr>
        <w:t xml:space="preserve">DING-13-1737 el cual indica: </w:t>
      </w:r>
      <w:r>
        <w:rPr>
          <w:rFonts w:ascii="Verdana" w:hAnsi="Verdana" w:cs="Verdana"/>
          <w:i/>
          <w:iCs/>
          <w:spacing w:val="-1"/>
          <w:sz w:val="24"/>
          <w:szCs w:val="24"/>
          <w:lang w:val="es-ES" w:eastAsia="es-ES"/>
        </w:rPr>
        <w:t xml:space="preserve">"Para la Ruta N° 140 en su ramal especifico descrito como: San Isidro de El General - Beneficio y viceversa, se puede concluir que de acuerdo con los resultados obtenidos, en donde se refleja que un promedio de 3 usuarios en cada servicio brindado por la ruta N° 140 y un total en promedio de 18 usuarios movilizados por día en el sentido 1-2, para el sentido 2-1 se promedio 2 usuarios para cada servicio dado, y un total en promedio de 13 usuarios movilizados por día en el sentido 2-1, como se puede observar la demanda proveniente del corredor en estudio, que utiliza los servicios de la ruta N° 140 es muy baja con un total de 31 usuarios por día en ambos sentidos, esto se debe al hecho de que en el recorrido de la ruta N° 140, solamente tiene un punto de contacto con la localidad de Los Chiles, donde se encuentra una parada de transito para esta ruta, si tomamos en consideración que las paradas más cercanas de la misma ruta, se encuentran a una distancia de 100 metros en ambos sentidos, podemos considerar que la demanda de esta ruta para este punto tiene un diámetro de influencia de 200 metros, también se debe considerar que los vecinos de esta comunidad, no tienen la necesidad de trasladarse a las comunidades cercanas a la localidad de Daniel Flores, a la vez se muestra en poco deseo de estos usuarios de utilizar el servicio de la ruta N° 140 en su ramal especifico descrito como: San Isidro de El General </w:t>
      </w:r>
      <w:r>
        <w:rPr>
          <w:rFonts w:ascii="Verdana" w:hAnsi="Verdana" w:cs="Verdana"/>
          <w:i/>
          <w:iCs/>
          <w:spacing w:val="-1"/>
          <w:sz w:val="24"/>
          <w:szCs w:val="24"/>
          <w:lang w:val="es-ES" w:eastAsia="es-ES"/>
        </w:rPr>
        <w:softHyphen/>
        <w:t>Beneficio y viceversa, para trasladarse al centro de San Isidro, si bien es cierto este cruce entre las rutas N°140 y las N°137 - 185, determinan una zona de influencia para estas rutas, se debe de tener en consideración que las tres rutas se clasifican según el Sistema unificado de clasificación de rutas del transporte colectivo remunerado de personas y especificaciones técnicas del parque vehicular como Rutas Urbanas, a la vez se considero el hecho de que sobre el recorrido de cada una de estas rutas su zona de influencia es de 500 metros a ambos lados de este recorrido, por lo cual las localidades de Las Rosas, Invu El Clavel y Los Chiles de Pérez Zeledón, están dentro de la zona de influencia de las tres rutas supra citadas, el argumento en el cual nos basamos para poder determinar a quién pertenece la demanda generada sobre el corredor donde se ubican las localidades de Las Rosas, Invu El Clavel y Los Chiles de Pérez Zeledón, nos apoyaremos en las políticas o procedimientos para desarrollar un fraccionamiento tarifarlo, adoptado por la Junta Directiva del Consejo de Transporte</w:t>
      </w:r>
    </w:p>
    <w:p w:rsidR="0042350F" w:rsidRDefault="0042350F">
      <w:pPr>
        <w:widowControl/>
        <w:rPr>
          <w:sz w:val="24"/>
          <w:szCs w:val="24"/>
        </w:rPr>
        <w:sectPr w:rsidR="0042350F">
          <w:pgSz w:w="12134" w:h="15840"/>
          <w:pgMar w:top="1420" w:right="1538" w:bottom="344" w:left="1596" w:header="720" w:footer="720" w:gutter="0"/>
          <w:cols w:space="720"/>
          <w:noEndnote/>
        </w:sectPr>
      </w:pPr>
    </w:p>
    <w:p w:rsidR="0042350F" w:rsidRDefault="0042350F">
      <w:pPr>
        <w:widowControl/>
        <w:rPr>
          <w:sz w:val="24"/>
          <w:szCs w:val="24"/>
        </w:rPr>
        <w:sectPr w:rsidR="0042350F">
          <w:type w:val="continuous"/>
          <w:pgSz w:w="12134" w:h="15840"/>
          <w:pgMar w:top="1420" w:right="1601" w:bottom="344" w:left="8273" w:header="720" w:footer="720" w:gutter="0"/>
          <w:cols w:space="720"/>
          <w:noEndnote/>
        </w:sectPr>
      </w:pPr>
    </w:p>
    <w:p w:rsidR="0042350F" w:rsidRDefault="00E078D2">
      <w:pPr>
        <w:kinsoku w:val="0"/>
        <w:overflowPunct w:val="0"/>
        <w:autoSpaceDE/>
        <w:autoSpaceDN/>
        <w:adjustRightInd/>
        <w:spacing w:before="17" w:line="286" w:lineRule="exact"/>
        <w:ind w:left="72" w:right="72"/>
        <w:jc w:val="both"/>
        <w:textAlignment w:val="baseline"/>
        <w:rPr>
          <w:rFonts w:ascii="Arial" w:hAnsi="Arial" w:cs="Arial"/>
          <w:i/>
          <w:iCs/>
          <w:spacing w:val="6"/>
          <w:sz w:val="26"/>
          <w:szCs w:val="26"/>
          <w:lang w:val="es-ES" w:eastAsia="es-ES"/>
        </w:rPr>
      </w:pPr>
      <w:r>
        <w:rPr>
          <w:rFonts w:ascii="Arial" w:hAnsi="Arial" w:cs="Arial"/>
          <w:i/>
          <w:iCs/>
          <w:spacing w:val="6"/>
          <w:sz w:val="26"/>
          <w:szCs w:val="26"/>
          <w:lang w:val="es-ES" w:eastAsia="es-ES"/>
        </w:rPr>
        <w:lastRenderedPageBreak/>
        <w:t>Público en la Sesión Ordinaria 56-2012, del Lunes 27 de agosto del 2012.</w:t>
      </w:r>
    </w:p>
    <w:p w:rsidR="0042350F" w:rsidRDefault="00E078D2">
      <w:pPr>
        <w:kinsoku w:val="0"/>
        <w:overflowPunct w:val="0"/>
        <w:autoSpaceDE/>
        <w:autoSpaceDN/>
        <w:adjustRightInd/>
        <w:spacing w:before="276" w:line="294" w:lineRule="exact"/>
        <w:ind w:left="72" w:right="72"/>
        <w:jc w:val="both"/>
        <w:textAlignment w:val="baseline"/>
        <w:rPr>
          <w:rFonts w:ascii="Arial" w:hAnsi="Arial" w:cs="Arial"/>
          <w:b/>
          <w:bCs/>
          <w:i/>
          <w:iCs/>
          <w:spacing w:val="9"/>
          <w:sz w:val="26"/>
          <w:szCs w:val="26"/>
          <w:u w:val="single"/>
          <w:lang w:val="es-ES" w:eastAsia="es-ES"/>
        </w:rPr>
      </w:pPr>
      <w:r>
        <w:rPr>
          <w:rFonts w:ascii="Arial" w:hAnsi="Arial" w:cs="Arial"/>
          <w:i/>
          <w:iCs/>
          <w:spacing w:val="9"/>
          <w:sz w:val="26"/>
          <w:szCs w:val="26"/>
          <w:lang w:val="es-ES" w:eastAsia="es-ES"/>
        </w:rPr>
        <w:t xml:space="preserve">Basados en estas políticas de Fraccionamiento, que si bien es cierto no aplican para este caso ya que como se indico, las tres rutas la N° 140, N° 137 y N° 185 se clasifican como rutas Urbanas, por lo cual son rutas cortas donde no se puede fraccionar, si podemos aplicar ciertos criterios de fraccionamiento, como por ejemplo; El Único procedimiento aprobado para realizar un fraccionamiento, será para aquellos casos en donde existan recorridos o tramos en dónde la empresa mantenga una exclusividad de servicio, a la vez no se permite fraccionamiento en un corredor común, </w:t>
      </w:r>
      <w:r>
        <w:rPr>
          <w:rFonts w:ascii="Arial" w:hAnsi="Arial" w:cs="Arial"/>
          <w:b/>
          <w:bCs/>
          <w:spacing w:val="9"/>
          <w:sz w:val="26"/>
          <w:szCs w:val="26"/>
          <w:u w:val="single"/>
          <w:lang w:val="es-ES" w:eastAsia="es-ES"/>
        </w:rPr>
        <w:t>basados en estos criterios podemos afirmar que  la demanda generada en el corredor comprendido entre la  entrada a la localidad de los Chiles en el cruce con la carretera  Nacional N° 2 y el cruce donde se encuentra el Colegio Pedagógico José Breideroff en Los</w:t>
      </w:r>
      <w:r>
        <w:rPr>
          <w:rFonts w:ascii="Arial" w:hAnsi="Arial" w:cs="Arial"/>
          <w:b/>
          <w:bCs/>
          <w:i/>
          <w:iCs/>
          <w:spacing w:val="9"/>
          <w:sz w:val="26"/>
          <w:szCs w:val="26"/>
          <w:u w:val="single"/>
          <w:lang w:val="es-ES" w:eastAsia="es-ES"/>
        </w:rPr>
        <w:t xml:space="preserve"> Chiles donde se ubican las comunidades señaladas, pertenecen a las rutas N° 137 y N° 185,  va Que este corredor es único v exclusivo de estas rutas, se bien  es cierto la ruta N°140, se cruza en la localidad de Los Chiles  sobre este corredor, es simplemente un cruce y no viaja sobre el corredor por lo cual según los criterios de fraccionamiento este  cruce, no se tomara en cuenta para determinar un corredor Común.</w:t>
      </w:r>
    </w:p>
    <w:p w:rsidR="0042350F" w:rsidRDefault="00F44F1F">
      <w:pPr>
        <w:kinsoku w:val="0"/>
        <w:overflowPunct w:val="0"/>
        <w:autoSpaceDE/>
        <w:autoSpaceDN/>
        <w:adjustRightInd/>
        <w:spacing w:before="333" w:line="296" w:lineRule="exact"/>
        <w:ind w:left="72" w:right="72"/>
        <w:jc w:val="both"/>
        <w:textAlignment w:val="baseline"/>
        <w:rPr>
          <w:rFonts w:ascii="Arial" w:hAnsi="Arial" w:cs="Arial"/>
          <w:i/>
          <w:iCs/>
          <w:spacing w:val="6"/>
          <w:sz w:val="26"/>
          <w:szCs w:val="26"/>
          <w:lang w:val="es-ES" w:eastAsia="es-ES"/>
        </w:rPr>
      </w:pPr>
      <w:r>
        <w:rPr>
          <w:noProof/>
          <w:lang w:val="es-CR"/>
        </w:rPr>
        <mc:AlternateContent>
          <mc:Choice Requires="wps">
            <w:drawing>
              <wp:anchor distT="0" distB="0" distL="0" distR="0" simplePos="0" relativeHeight="251658240" behindDoc="0" locked="0" layoutInCell="0" allowOverlap="1">
                <wp:simplePos x="0" y="0"/>
                <wp:positionH relativeFrom="page">
                  <wp:posOffset>1045210</wp:posOffset>
                </wp:positionH>
                <wp:positionV relativeFrom="page">
                  <wp:posOffset>5205730</wp:posOffset>
                </wp:positionV>
                <wp:extent cx="628650" cy="0"/>
                <wp:effectExtent l="16510" t="14605" r="12065" b="1397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555D"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pt,409.9pt" to="131.8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" o:allowincell="f" strokeweight="1.2pt">
                <w10:wrap type="square" anchorx="page" anchory="page"/>
              </v:line>
            </w:pict>
          </mc:Fallback>
        </mc:AlternateContent>
      </w:r>
      <w:r w:rsidR="00E078D2">
        <w:rPr>
          <w:rFonts w:ascii="Arial" w:hAnsi="Arial" w:cs="Arial"/>
          <w:i/>
          <w:iCs/>
          <w:spacing w:val="6"/>
          <w:sz w:val="26"/>
          <w:szCs w:val="26"/>
          <w:lang w:val="es-ES" w:eastAsia="es-ES"/>
        </w:rPr>
        <w:t>En el caso de las Rutas N° 137 y 185, descritas por su orden como San Isidro - Los Chiles - Quizarrá y viceversa y San Isidro - Miraflores y viceversa, los resultados indican que para el caso de la ruta N° 137, se observa un promedio simple de 8 pasajeros para cada servicio ofrecido, que utilizan este servicio para viajar hacia las localidades de Quizarrá y un promedio de 9 usuarios para cada servicio, que utilizan este servicio para ir y venir de San Isidro centro, para un total en promedio de 83 usuarios al día que utilizan este servicio en el sentido 1-2, y en el caso del sentido 2-1, da como promedio 97 usuarios, teniendo un total de 180 usuarios al día vecinos de las localidades de El Invu, El Clavel, Las Rosas y los Chiles, que utilizan los servicios de la ruta N° 137; para la ruta N° 185, se observa un promedio simple de 11 pasajeros para cada servicio ofrecido para el sentido 1-2 y un promedio de 10 usuarios para cada servicio ofrecido en el sentido 2-1, que utilizan este servicio para ir y venir de San Isidro centro, para un total en promedio de 126 usuarios vecinos</w:t>
      </w:r>
      <w:r w:rsidR="00E078D2">
        <w:rPr>
          <w:rFonts w:ascii="Arial" w:hAnsi="Arial" w:cs="Arial"/>
          <w:i/>
          <w:iCs/>
          <w:spacing w:val="6"/>
          <w:sz w:val="26"/>
          <w:szCs w:val="26"/>
          <w:vertAlign w:val="superscript"/>
          <w:lang w:val="es-ES" w:eastAsia="es-ES"/>
        </w:rPr>
        <w:t>.</w:t>
      </w:r>
      <w:r w:rsidR="00E078D2">
        <w:rPr>
          <w:rFonts w:ascii="Arial" w:hAnsi="Arial" w:cs="Arial"/>
          <w:i/>
          <w:iCs/>
          <w:spacing w:val="6"/>
          <w:sz w:val="26"/>
          <w:szCs w:val="26"/>
          <w:lang w:val="es-ES" w:eastAsia="es-ES"/>
        </w:rPr>
        <w:t xml:space="preserve"> de las localidades de Invu, El Clavel, Las Rosas y los Chiles, al día que utilizan los servicios de la ruta N° 185.</w:t>
      </w:r>
    </w:p>
    <w:p w:rsidR="0042350F" w:rsidRDefault="00E078D2">
      <w:pPr>
        <w:kinsoku w:val="0"/>
        <w:overflowPunct w:val="0"/>
        <w:autoSpaceDE/>
        <w:autoSpaceDN/>
        <w:adjustRightInd/>
        <w:spacing w:before="295" w:after="423" w:line="296" w:lineRule="exact"/>
        <w:ind w:left="72" w:right="72"/>
        <w:jc w:val="both"/>
        <w:textAlignment w:val="baseline"/>
        <w:rPr>
          <w:rFonts w:ascii="Arial" w:hAnsi="Arial" w:cs="Arial"/>
          <w:i/>
          <w:iCs/>
          <w:sz w:val="26"/>
          <w:szCs w:val="26"/>
          <w:lang w:val="es-ES" w:eastAsia="es-ES"/>
        </w:rPr>
      </w:pPr>
      <w:r>
        <w:rPr>
          <w:rFonts w:ascii="Arial" w:hAnsi="Arial" w:cs="Arial"/>
          <w:i/>
          <w:iCs/>
          <w:sz w:val="26"/>
          <w:szCs w:val="26"/>
          <w:lang w:val="es-ES" w:eastAsia="es-ES"/>
        </w:rPr>
        <w:t>Con esta situación de las rutas N° 137 y 185, se procedió a revisar los porcentajes de ocupación que presentaban estas dos rutas en todos los</w:t>
      </w:r>
    </w:p>
    <w:p w:rsidR="0042350F" w:rsidRDefault="0042350F">
      <w:pPr>
        <w:widowControl/>
        <w:rPr>
          <w:sz w:val="24"/>
          <w:szCs w:val="24"/>
        </w:rPr>
        <w:sectPr w:rsidR="0042350F">
          <w:pgSz w:w="12134" w:h="15840"/>
          <w:pgMar w:top="1420" w:right="1488" w:bottom="344" w:left="1646" w:header="720" w:footer="720" w:gutter="0"/>
          <w:cols w:space="720"/>
          <w:noEndnote/>
        </w:sectPr>
      </w:pPr>
    </w:p>
    <w:p w:rsidR="0042350F" w:rsidRDefault="0042350F">
      <w:pPr>
        <w:widowControl/>
        <w:rPr>
          <w:sz w:val="24"/>
          <w:szCs w:val="24"/>
        </w:rPr>
        <w:sectPr w:rsidR="0042350F">
          <w:type w:val="continuous"/>
          <w:pgSz w:w="12134" w:h="15840"/>
          <w:pgMar w:top="1420" w:right="1552" w:bottom="344" w:left="8322" w:header="720" w:footer="720" w:gutter="0"/>
          <w:cols w:space="720"/>
          <w:noEndnote/>
        </w:sectPr>
      </w:pPr>
    </w:p>
    <w:p w:rsidR="0042350F" w:rsidRDefault="00E078D2">
      <w:pPr>
        <w:kinsoku w:val="0"/>
        <w:overflowPunct w:val="0"/>
        <w:autoSpaceDE/>
        <w:autoSpaceDN/>
        <w:adjustRightInd/>
        <w:spacing w:line="294" w:lineRule="exact"/>
        <w:ind w:left="72" w:right="72"/>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lastRenderedPageBreak/>
        <w:t>servicios ofrecidos para cada intervalo de tiempo establecido, resultando que en algunos servicios de estas rutas, viajaban con ocupaciones superiores al 100% en las unidades que prestaban estos servicios, estos</w:t>
      </w:r>
    </w:p>
    <w:p w:rsidR="0042350F" w:rsidRDefault="00E078D2" w:rsidP="001D50D3">
      <w:pPr>
        <w:kinsoku w:val="0"/>
        <w:overflowPunct w:val="0"/>
        <w:autoSpaceDE/>
        <w:autoSpaceDN/>
        <w:adjustRightInd/>
        <w:spacing w:before="14" w:line="296" w:lineRule="exact"/>
        <w:ind w:left="72" w:right="72"/>
        <w:jc w:val="both"/>
        <w:textAlignment w:val="baseline"/>
        <w:rPr>
          <w:rFonts w:ascii="Verdana" w:hAnsi="Verdana" w:cs="Verdana"/>
          <w:i/>
          <w:iCs/>
          <w:sz w:val="24"/>
          <w:szCs w:val="24"/>
          <w:lang w:val="es-ES" w:eastAsia="es-ES"/>
        </w:rPr>
      </w:pPr>
      <w:r>
        <w:rPr>
          <w:rFonts w:ascii="Verdana" w:hAnsi="Verdana" w:cs="Verdana"/>
          <w:i/>
          <w:iCs/>
          <w:sz w:val="24"/>
          <w:szCs w:val="24"/>
          <w:lang w:val="es-ES" w:eastAsia="es-ES"/>
        </w:rPr>
        <w:t>resultados demuestran que hay una sobre demanda a los servicios que brindan las rutas supra citadas donde en algunos intervalos de tiempo la demanda es mayor a los servicios ofrecidos, esto produce que las</w:t>
      </w:r>
      <w:r w:rsidR="001D50D3">
        <w:rPr>
          <w:rFonts w:ascii="Verdana" w:hAnsi="Verdana" w:cs="Verdana"/>
          <w:i/>
          <w:iCs/>
          <w:sz w:val="24"/>
          <w:szCs w:val="24"/>
          <w:lang w:val="es-ES" w:eastAsia="es-ES"/>
        </w:rPr>
        <w:t xml:space="preserve"> </w:t>
      </w:r>
      <w:r>
        <w:rPr>
          <w:rFonts w:ascii="Verdana" w:hAnsi="Verdana" w:cs="Verdana"/>
          <w:i/>
          <w:iCs/>
          <w:sz w:val="24"/>
          <w:szCs w:val="24"/>
          <w:lang w:val="es-ES" w:eastAsia="es-ES"/>
        </w:rPr>
        <w:t>unidades que brindan estos servicios en algunos casos viajen con recargo, y que algunos usuarios no puedan satisfacer su necesidad de</w:t>
      </w:r>
      <w:r w:rsidR="001D50D3">
        <w:rPr>
          <w:rFonts w:ascii="Verdana" w:hAnsi="Verdana" w:cs="Verdana"/>
          <w:i/>
          <w:iCs/>
          <w:sz w:val="24"/>
          <w:szCs w:val="24"/>
          <w:lang w:val="es-ES" w:eastAsia="es-ES"/>
        </w:rPr>
        <w:t xml:space="preserve"> </w:t>
      </w:r>
      <w:r>
        <w:rPr>
          <w:rFonts w:ascii="Verdana" w:hAnsi="Verdana" w:cs="Verdana"/>
          <w:i/>
          <w:iCs/>
          <w:sz w:val="24"/>
          <w:szCs w:val="24"/>
          <w:lang w:val="es-ES" w:eastAsia="es-ES"/>
        </w:rPr>
        <w:t>transporte público en la modalidad de autobús; por esta razón se procedió a realizar el estudio para determinar una nueva propuesta de horarios y flota óptima, para la operación de las Rutas N° 137 y N°185." (el resaltado es nuestro)</w:t>
      </w:r>
    </w:p>
    <w:p w:rsidR="0042350F" w:rsidRDefault="00E078D2" w:rsidP="001D50D3">
      <w:pPr>
        <w:kinsoku w:val="0"/>
        <w:overflowPunct w:val="0"/>
        <w:autoSpaceDE/>
        <w:autoSpaceDN/>
        <w:adjustRightInd/>
        <w:spacing w:before="294" w:line="296" w:lineRule="exact"/>
        <w:ind w:left="72" w:right="72"/>
        <w:jc w:val="both"/>
        <w:textAlignment w:val="baseline"/>
        <w:rPr>
          <w:rFonts w:ascii="Verdana" w:hAnsi="Verdana" w:cs="Verdana"/>
          <w:b/>
          <w:bCs/>
          <w:i/>
          <w:iCs/>
          <w:spacing w:val="3"/>
          <w:lang w:val="es-ES" w:eastAsia="es-ES"/>
        </w:rPr>
      </w:pPr>
      <w:r>
        <w:rPr>
          <w:rFonts w:ascii="Verdana" w:hAnsi="Verdana" w:cs="Verdana"/>
          <w:spacing w:val="1"/>
          <w:sz w:val="24"/>
          <w:szCs w:val="24"/>
          <w:lang w:val="es-ES" w:eastAsia="es-ES"/>
        </w:rPr>
        <w:t>De las piezas del expediente, tanto del informe indicado anteriormente</w:t>
      </w:r>
      <w:r w:rsidR="001D50D3">
        <w:rPr>
          <w:rFonts w:ascii="Verdana" w:hAnsi="Verdana" w:cs="Verdana"/>
          <w:spacing w:val="1"/>
          <w:sz w:val="24"/>
          <w:szCs w:val="24"/>
          <w:lang w:val="es-ES" w:eastAsia="es-ES"/>
        </w:rPr>
        <w:t xml:space="preserve"> </w:t>
      </w:r>
      <w:r>
        <w:rPr>
          <w:rFonts w:ascii="Verdana" w:hAnsi="Verdana" w:cs="Verdana"/>
          <w:sz w:val="24"/>
          <w:szCs w:val="24"/>
          <w:lang w:val="es-ES" w:eastAsia="es-ES"/>
        </w:rPr>
        <w:t>como de otros informes técnicos queda claro que la Ruta N°140 no tiene dentro de sus servicios la comunidad de Los Chiles ya que ésta está servida por la Ruta N° 137 y 185, según la descripción de la ruta que se</w:t>
      </w:r>
      <w:r w:rsidR="001D50D3">
        <w:rPr>
          <w:rFonts w:ascii="Verdana" w:hAnsi="Verdana" w:cs="Verdana"/>
          <w:sz w:val="24"/>
          <w:szCs w:val="24"/>
          <w:lang w:val="es-ES" w:eastAsia="es-ES"/>
        </w:rPr>
        <w:t xml:space="preserve"> </w:t>
      </w:r>
      <w:r>
        <w:rPr>
          <w:rFonts w:ascii="Verdana" w:hAnsi="Verdana" w:cs="Verdana"/>
          <w:spacing w:val="1"/>
          <w:sz w:val="24"/>
          <w:szCs w:val="24"/>
          <w:lang w:val="es-ES" w:eastAsia="es-ES"/>
        </w:rPr>
        <w:t>indica en el CTP, por otro lado según se desprende del informe técnico</w:t>
      </w:r>
      <w:r w:rsidR="001D50D3">
        <w:rPr>
          <w:rFonts w:ascii="Verdana" w:hAnsi="Verdana" w:cs="Verdana"/>
          <w:spacing w:val="1"/>
          <w:sz w:val="24"/>
          <w:szCs w:val="24"/>
          <w:lang w:val="es-ES" w:eastAsia="es-ES"/>
        </w:rPr>
        <w:t xml:space="preserve"> </w:t>
      </w:r>
      <w:r>
        <w:rPr>
          <w:rFonts w:ascii="Verdana" w:hAnsi="Verdana" w:cs="Verdana"/>
          <w:spacing w:val="3"/>
          <w:sz w:val="24"/>
          <w:szCs w:val="24"/>
          <w:lang w:val="es-ES" w:eastAsia="es-ES"/>
        </w:rPr>
        <w:t xml:space="preserve">sustento del acto impugnado el cual indica </w:t>
      </w:r>
      <w:r>
        <w:rPr>
          <w:rFonts w:ascii="Verdana" w:hAnsi="Verdana" w:cs="Verdana"/>
          <w:b/>
          <w:bCs/>
          <w:i/>
          <w:iCs/>
          <w:spacing w:val="3"/>
          <w:lang w:val="es-ES" w:eastAsia="es-ES"/>
        </w:rPr>
        <w:t>"Que la ruta N° 140 no tiene influencia directa sobre la demanda existente de las localidad Las Rosas, Invu El Clavel y Los Chiles de Pérez Zeledón, las cuales están dentro del corredor comprendido entre la entrada a la localidad de los Chiles en el cruce con la carretera Nacional N° 2 y el cruce donde se encuentra el Colegio Pedagógico José Breideroff en Los Chiles, que su influencia es indirecta en un punto único donde el recorrido de esta ruta cruza con el recorrido de las rutas N° 137 y 185, siendo este punto con un radio de influencia de aproximadamente 100 metros, una zona en común donde la demanda generada por ella No es única, especifica o cautiva de ninguna de las tres rutas supra citadas ya que esta demanda tiene la opción de utilizar cualquier servicio de estas tres rutas, según sus necesidades de viajes. .Que la demanda generada de las localidad Las Rosas, Invu El Clavel y Los Chiles de Pérez Zeledón, las cuales están dentro del corredor comprendido entre la entrada a la localidad de los Chiles en el cruce con la carretera Nacional N° 2 y el cruce donde se encuentra el Colegio Pedagógico José Breideroff en Los Chiles, es única, exclusiva o cautiva de las rutas No 137 y 185, ya que son las únicas rutas que tienen su recorrido autorizado sobre este corredor, manteniendo una exclusividad del servicio sobre estas comunidades, esto basados en las políticas o procedimientos para desarrollar un fraccionamiento tarifario."</w:t>
      </w:r>
    </w:p>
    <w:p w:rsidR="0042350F" w:rsidRDefault="00E078D2">
      <w:pPr>
        <w:kinsoku w:val="0"/>
        <w:overflowPunct w:val="0"/>
        <w:autoSpaceDE/>
        <w:autoSpaceDN/>
        <w:adjustRightInd/>
        <w:spacing w:before="290" w:after="1121" w:line="296" w:lineRule="exact"/>
        <w:ind w:left="72" w:right="72"/>
        <w:jc w:val="both"/>
        <w:textAlignment w:val="baseline"/>
        <w:rPr>
          <w:rFonts w:ascii="Verdana" w:hAnsi="Verdana" w:cs="Verdana"/>
          <w:sz w:val="24"/>
          <w:szCs w:val="24"/>
          <w:lang w:val="es-ES" w:eastAsia="es-ES"/>
        </w:rPr>
      </w:pPr>
      <w:r>
        <w:rPr>
          <w:rFonts w:ascii="Verdana" w:hAnsi="Verdana" w:cs="Verdana"/>
          <w:sz w:val="24"/>
          <w:szCs w:val="24"/>
          <w:lang w:val="es-ES" w:eastAsia="es-ES"/>
        </w:rPr>
        <w:t xml:space="preserve">Así las cosas, </w:t>
      </w:r>
      <w:r>
        <w:rPr>
          <w:rFonts w:ascii="Verdana" w:hAnsi="Verdana" w:cs="Verdana"/>
          <w:b/>
          <w:bCs/>
          <w:sz w:val="24"/>
          <w:szCs w:val="24"/>
          <w:lang w:val="es-ES" w:eastAsia="es-ES"/>
        </w:rPr>
        <w:t xml:space="preserve">contrario a </w:t>
      </w:r>
      <w:r>
        <w:rPr>
          <w:rFonts w:ascii="Verdana" w:hAnsi="Verdana" w:cs="Verdana"/>
          <w:sz w:val="24"/>
          <w:szCs w:val="24"/>
          <w:lang w:val="es-ES" w:eastAsia="es-ES"/>
        </w:rPr>
        <w:t>lo indicado por la recurrente, este Tribunal observa un estudio técnico detallado que es el sustento del acuerdo impugnado, por lo que los argumentos de que el acto es nulo por ausencia de motivación, al desviarse del fin y carecer del contenido, no son de recibo.</w:t>
      </w:r>
    </w:p>
    <w:p w:rsidR="0042350F" w:rsidRDefault="0042350F">
      <w:pPr>
        <w:widowControl/>
        <w:rPr>
          <w:sz w:val="24"/>
          <w:szCs w:val="24"/>
        </w:rPr>
        <w:sectPr w:rsidR="0042350F">
          <w:pgSz w:w="12134" w:h="15840"/>
          <w:pgMar w:top="1420" w:right="1494" w:bottom="344" w:left="1640" w:header="720" w:footer="720" w:gutter="0"/>
          <w:cols w:space="720"/>
          <w:noEndnote/>
        </w:sectPr>
      </w:pPr>
    </w:p>
    <w:p w:rsidR="0042350F" w:rsidRDefault="0042350F">
      <w:pPr>
        <w:widowControl/>
        <w:rPr>
          <w:sz w:val="24"/>
          <w:szCs w:val="24"/>
        </w:rPr>
        <w:sectPr w:rsidR="0042350F">
          <w:type w:val="continuous"/>
          <w:pgSz w:w="12134" w:h="15840"/>
          <w:pgMar w:top="1420" w:right="1562" w:bottom="344" w:left="8312" w:header="720" w:footer="720" w:gutter="0"/>
          <w:cols w:space="720"/>
          <w:noEndnote/>
        </w:sectPr>
      </w:pPr>
    </w:p>
    <w:p w:rsidR="0042350F" w:rsidRDefault="00E078D2">
      <w:pPr>
        <w:kinsoku w:val="0"/>
        <w:overflowPunct w:val="0"/>
        <w:autoSpaceDE/>
        <w:autoSpaceDN/>
        <w:adjustRightInd/>
        <w:spacing w:before="14" w:line="298" w:lineRule="exact"/>
        <w:ind w:left="72"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lastRenderedPageBreak/>
        <w:t>Es claro que si las rutas 137 y 185 son las que sirven las comunidades, en cuestión y no la ruta 140, lo procedente es aumentar la flota óptima tal y como se hizo para dotar a la comunidad de mayores frecuencias de servicios y no autorizar a otro operador, lo cual requeriría de un procedimiento especial tutelado en la Ley 3503 en su numeral 10.</w:t>
      </w:r>
    </w:p>
    <w:p w:rsidR="0042350F" w:rsidRDefault="00E078D2">
      <w:pPr>
        <w:kinsoku w:val="0"/>
        <w:overflowPunct w:val="0"/>
        <w:autoSpaceDE/>
        <w:autoSpaceDN/>
        <w:adjustRightInd/>
        <w:spacing w:before="266" w:line="298" w:lineRule="exact"/>
        <w:ind w:left="72"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Para finalizar en cuanto a los argumentos dados por la recurrente en cuanto a que la metodología y mecanismos de investigación no fueron los adecuados, no consta en el expediente ningún informe técnico emanado de persona o personas autorizadas que desvirtúen lo desarrollado por el Departamento de Ingeniería del Consejo, siendo entonces que todo redunda en el dicho de la recurrente, sin un respaldo que demuestre que la metodología y mecanismos de investigación utilizados por o la Administración no son los procedentes.</w:t>
      </w:r>
    </w:p>
    <w:p w:rsidR="0042350F" w:rsidRDefault="00E078D2">
      <w:pPr>
        <w:kinsoku w:val="0"/>
        <w:overflowPunct w:val="0"/>
        <w:autoSpaceDE/>
        <w:autoSpaceDN/>
        <w:adjustRightInd/>
        <w:spacing w:before="289" w:line="298" w:lineRule="exact"/>
        <w:ind w:left="72" w:right="72"/>
        <w:jc w:val="center"/>
        <w:textAlignment w:val="baseline"/>
        <w:rPr>
          <w:rFonts w:ascii="Tahoma" w:hAnsi="Tahoma" w:cs="Tahoma"/>
          <w:b/>
          <w:bCs/>
          <w:spacing w:val="7"/>
          <w:sz w:val="25"/>
          <w:szCs w:val="25"/>
          <w:lang w:val="es-ES" w:eastAsia="es-ES"/>
        </w:rPr>
      </w:pPr>
      <w:r>
        <w:rPr>
          <w:rFonts w:ascii="Tahoma" w:hAnsi="Tahoma" w:cs="Tahoma"/>
          <w:b/>
          <w:bCs/>
          <w:spacing w:val="7"/>
          <w:sz w:val="25"/>
          <w:szCs w:val="25"/>
          <w:lang w:val="es-ES" w:eastAsia="es-ES"/>
        </w:rPr>
        <w:t>POR TANTO</w:t>
      </w:r>
    </w:p>
    <w:p w:rsidR="0042350F" w:rsidRDefault="00E078D2">
      <w:pPr>
        <w:numPr>
          <w:ilvl w:val="0"/>
          <w:numId w:val="22"/>
        </w:numPr>
        <w:kinsoku w:val="0"/>
        <w:overflowPunct w:val="0"/>
        <w:autoSpaceDE/>
        <w:autoSpaceDN/>
        <w:adjustRightInd/>
        <w:spacing w:before="283" w:line="298" w:lineRule="exact"/>
        <w:ind w:right="72"/>
        <w:jc w:val="both"/>
        <w:textAlignment w:val="baseline"/>
        <w:rPr>
          <w:rFonts w:ascii="Tahoma" w:hAnsi="Tahoma" w:cs="Tahoma"/>
          <w:spacing w:val="11"/>
          <w:sz w:val="25"/>
          <w:szCs w:val="25"/>
          <w:lang w:val="es-ES" w:eastAsia="es-ES"/>
        </w:rPr>
      </w:pPr>
      <w:r>
        <w:rPr>
          <w:rFonts w:ascii="Tahoma" w:hAnsi="Tahoma" w:cs="Tahoma"/>
          <w:spacing w:val="11"/>
          <w:sz w:val="25"/>
          <w:szCs w:val="25"/>
          <w:lang w:val="es-ES" w:eastAsia="es-ES"/>
        </w:rPr>
        <w:t xml:space="preserve">Se declara sin lugar el Recurso de Apelación y la Nulidad interpuesto por La empresa </w:t>
      </w:r>
      <w:r>
        <w:rPr>
          <w:rFonts w:ascii="Tahoma" w:hAnsi="Tahoma" w:cs="Tahoma"/>
          <w:b/>
          <w:bCs/>
          <w:spacing w:val="11"/>
          <w:sz w:val="25"/>
          <w:szCs w:val="25"/>
          <w:lang w:val="es-ES" w:eastAsia="es-ES"/>
        </w:rPr>
        <w:t>T</w:t>
      </w:r>
      <w:r w:rsidR="001D50D3">
        <w:rPr>
          <w:rFonts w:ascii="Tahoma" w:hAnsi="Tahoma" w:cs="Tahoma"/>
          <w:b/>
          <w:bCs/>
          <w:spacing w:val="11"/>
          <w:sz w:val="25"/>
          <w:szCs w:val="25"/>
          <w:lang w:val="es-ES" w:eastAsia="es-ES"/>
        </w:rPr>
        <w:t>.M.</w:t>
      </w:r>
      <w:r>
        <w:rPr>
          <w:rFonts w:ascii="Tahoma" w:hAnsi="Tahoma" w:cs="Tahoma"/>
          <w:b/>
          <w:bCs/>
          <w:spacing w:val="11"/>
          <w:sz w:val="25"/>
          <w:szCs w:val="25"/>
          <w:lang w:val="es-ES" w:eastAsia="es-ES"/>
        </w:rPr>
        <w:t xml:space="preserve">S.A. </w:t>
      </w:r>
      <w:r>
        <w:rPr>
          <w:rFonts w:ascii="Tahoma" w:hAnsi="Tahoma" w:cs="Tahoma"/>
          <w:spacing w:val="11"/>
          <w:sz w:val="25"/>
          <w:szCs w:val="25"/>
          <w:lang w:val="es-ES" w:eastAsia="es-ES"/>
        </w:rPr>
        <w:t xml:space="preserve">cédula jurídica número </w:t>
      </w:r>
      <w:r w:rsidR="001D50D3">
        <w:rPr>
          <w:rFonts w:ascii="Tahoma" w:hAnsi="Tahoma" w:cs="Tahoma"/>
          <w:spacing w:val="11"/>
          <w:sz w:val="25"/>
          <w:szCs w:val="25"/>
          <w:lang w:val="es-ES" w:eastAsia="es-ES"/>
        </w:rPr>
        <w:t>…</w:t>
      </w:r>
      <w:r>
        <w:rPr>
          <w:rFonts w:ascii="Tahoma" w:hAnsi="Tahoma" w:cs="Tahoma"/>
          <w:spacing w:val="11"/>
          <w:sz w:val="25"/>
          <w:szCs w:val="25"/>
          <w:lang w:val="es-ES" w:eastAsia="es-ES"/>
        </w:rPr>
        <w:t xml:space="preserve"> por medio de su Apoderado Generalísimo sin límite de suma, el señor </w:t>
      </w:r>
      <w:r>
        <w:rPr>
          <w:rFonts w:ascii="Tahoma" w:hAnsi="Tahoma" w:cs="Tahoma"/>
          <w:b/>
          <w:bCs/>
          <w:spacing w:val="11"/>
          <w:sz w:val="25"/>
          <w:szCs w:val="25"/>
          <w:lang w:val="es-ES" w:eastAsia="es-ES"/>
        </w:rPr>
        <w:t>H</w:t>
      </w:r>
      <w:r w:rsidR="001D50D3">
        <w:rPr>
          <w:rFonts w:ascii="Tahoma" w:hAnsi="Tahoma" w:cs="Tahoma"/>
          <w:b/>
          <w:bCs/>
          <w:spacing w:val="11"/>
          <w:sz w:val="25"/>
          <w:szCs w:val="25"/>
          <w:lang w:val="es-ES" w:eastAsia="es-ES"/>
        </w:rPr>
        <w:t>.A.B.S.</w:t>
      </w:r>
      <w:r>
        <w:rPr>
          <w:rFonts w:ascii="Tahoma" w:hAnsi="Tahoma" w:cs="Tahoma"/>
          <w:b/>
          <w:bCs/>
          <w:spacing w:val="11"/>
          <w:sz w:val="25"/>
          <w:szCs w:val="25"/>
          <w:lang w:val="es-ES" w:eastAsia="es-ES"/>
        </w:rPr>
        <w:t xml:space="preserve">, </w:t>
      </w:r>
      <w:r>
        <w:rPr>
          <w:rFonts w:ascii="Tahoma" w:hAnsi="Tahoma" w:cs="Tahoma"/>
          <w:spacing w:val="11"/>
          <w:sz w:val="25"/>
          <w:szCs w:val="25"/>
          <w:lang w:val="es-ES" w:eastAsia="es-ES"/>
        </w:rPr>
        <w:t xml:space="preserve">cédula de identidad número </w:t>
      </w:r>
      <w:r w:rsidR="001D50D3">
        <w:rPr>
          <w:rFonts w:ascii="Tahoma" w:hAnsi="Tahoma" w:cs="Tahoma"/>
          <w:spacing w:val="11"/>
          <w:sz w:val="25"/>
          <w:szCs w:val="25"/>
          <w:lang w:val="es-ES" w:eastAsia="es-ES"/>
        </w:rPr>
        <w:t>…</w:t>
      </w:r>
      <w:r>
        <w:rPr>
          <w:rFonts w:ascii="Tahoma" w:hAnsi="Tahoma" w:cs="Tahoma"/>
          <w:spacing w:val="11"/>
          <w:sz w:val="25"/>
          <w:szCs w:val="25"/>
          <w:lang w:val="es-ES" w:eastAsia="es-ES"/>
        </w:rPr>
        <w:t xml:space="preserve">, contra el </w:t>
      </w:r>
      <w:r>
        <w:rPr>
          <w:rFonts w:ascii="Tahoma" w:hAnsi="Tahoma" w:cs="Tahoma"/>
          <w:b/>
          <w:bCs/>
          <w:spacing w:val="11"/>
          <w:sz w:val="25"/>
          <w:szCs w:val="25"/>
          <w:lang w:val="es-ES" w:eastAsia="es-ES"/>
        </w:rPr>
        <w:t xml:space="preserve">Artículo 7.38 de la Sesión Ordinaria 78-2013, </w:t>
      </w:r>
      <w:r>
        <w:rPr>
          <w:rFonts w:ascii="Tahoma" w:hAnsi="Tahoma" w:cs="Tahoma"/>
          <w:spacing w:val="11"/>
          <w:sz w:val="25"/>
          <w:szCs w:val="25"/>
          <w:lang w:val="es-ES" w:eastAsia="es-ES"/>
        </w:rPr>
        <w:t>celebrada por la Junta Directiva del Consejo de Transporte Público, el 24 de octubre del 2013.</w:t>
      </w:r>
    </w:p>
    <w:p w:rsidR="0042350F" w:rsidRDefault="00E078D2">
      <w:pPr>
        <w:numPr>
          <w:ilvl w:val="0"/>
          <w:numId w:val="23"/>
        </w:numPr>
        <w:kinsoku w:val="0"/>
        <w:overflowPunct w:val="0"/>
        <w:autoSpaceDE/>
        <w:autoSpaceDN/>
        <w:adjustRightInd/>
        <w:spacing w:before="295" w:after="679" w:line="298" w:lineRule="exact"/>
        <w:ind w:right="72"/>
        <w:jc w:val="both"/>
        <w:textAlignment w:val="baseline"/>
        <w:rPr>
          <w:rFonts w:ascii="Tahoma" w:hAnsi="Tahoma" w:cs="Tahoma"/>
          <w:b/>
          <w:bCs/>
          <w:sz w:val="25"/>
          <w:szCs w:val="25"/>
          <w:lang w:val="es-ES" w:eastAsia="es-ES"/>
        </w:rPr>
      </w:pPr>
      <w:r>
        <w:rPr>
          <w:rFonts w:ascii="Tahoma" w:hAnsi="Tahoma" w:cs="Tahoma"/>
          <w:sz w:val="25"/>
          <w:szCs w:val="25"/>
          <w:lang w:val="es-ES" w:eastAsia="es-ES"/>
        </w:rPr>
        <w:t xml:space="preserve">Notifíquese la presente resolución a la Dirección General de la Policía de Tránsito, para lo que corresponda. </w:t>
      </w:r>
      <w:r>
        <w:rPr>
          <w:rFonts w:ascii="Tahoma" w:hAnsi="Tahoma" w:cs="Tahoma"/>
          <w:b/>
          <w:bCs/>
          <w:sz w:val="25"/>
          <w:szCs w:val="25"/>
          <w:lang w:val="es-ES" w:eastAsia="es-ES"/>
        </w:rPr>
        <w:t>NOTIFIQUESE.</w:t>
      </w:r>
    </w:p>
    <w:p w:rsidR="0042350F" w:rsidRDefault="0042350F">
      <w:pPr>
        <w:widowControl/>
        <w:rPr>
          <w:sz w:val="24"/>
          <w:szCs w:val="24"/>
        </w:rPr>
      </w:pPr>
    </w:p>
    <w:p w:rsidR="001D50D3" w:rsidRPr="00B576A7" w:rsidRDefault="001D50D3" w:rsidP="001D50D3">
      <w:pPr>
        <w:pStyle w:val="Style4"/>
        <w:kinsoku w:val="0"/>
        <w:autoSpaceDE/>
        <w:ind w:left="72"/>
        <w:jc w:val="center"/>
        <w:rPr>
          <w:rStyle w:val="CharacterStyle4"/>
          <w:rFonts w:ascii="Verdana" w:hAnsi="Verdana"/>
          <w:b/>
          <w:spacing w:val="2"/>
          <w:w w:val="105"/>
          <w:sz w:val="22"/>
          <w:szCs w:val="22"/>
          <w:lang w:val="es-ES" w:eastAsia="es-ES"/>
        </w:rPr>
      </w:pPr>
      <w:r w:rsidRPr="00B576A7">
        <w:rPr>
          <w:rStyle w:val="CharacterStyle4"/>
          <w:rFonts w:ascii="Verdana" w:hAnsi="Verdana"/>
          <w:b/>
          <w:spacing w:val="2"/>
          <w:w w:val="105"/>
          <w:sz w:val="22"/>
          <w:szCs w:val="22"/>
          <w:lang w:val="es-ES" w:eastAsia="es-ES"/>
        </w:rPr>
        <w:t>Lic. Carlos Miguel Portuguez Méndez</w:t>
      </w:r>
    </w:p>
    <w:p w:rsidR="001D50D3" w:rsidRPr="00B576A7" w:rsidRDefault="001D50D3" w:rsidP="001D50D3">
      <w:pPr>
        <w:pStyle w:val="Style4"/>
        <w:kinsoku w:val="0"/>
        <w:autoSpaceDE/>
        <w:ind w:left="72"/>
        <w:jc w:val="center"/>
        <w:rPr>
          <w:rStyle w:val="CharacterStyle4"/>
          <w:rFonts w:ascii="Verdana" w:hAnsi="Verdana"/>
          <w:b/>
          <w:spacing w:val="2"/>
          <w:w w:val="105"/>
          <w:sz w:val="22"/>
          <w:szCs w:val="22"/>
          <w:lang w:val="es-ES" w:eastAsia="es-ES"/>
        </w:rPr>
      </w:pPr>
      <w:r w:rsidRPr="00B576A7">
        <w:rPr>
          <w:rStyle w:val="CharacterStyle4"/>
          <w:rFonts w:ascii="Verdana" w:hAnsi="Verdana"/>
          <w:b/>
          <w:spacing w:val="2"/>
          <w:w w:val="105"/>
          <w:sz w:val="22"/>
          <w:szCs w:val="22"/>
          <w:lang w:val="es-ES" w:eastAsia="es-ES"/>
        </w:rPr>
        <w:t>Presidente</w:t>
      </w:r>
    </w:p>
    <w:p w:rsidR="001D50D3" w:rsidRPr="00B576A7" w:rsidRDefault="001D50D3" w:rsidP="001D50D3">
      <w:pPr>
        <w:pStyle w:val="Style4"/>
        <w:kinsoku w:val="0"/>
        <w:autoSpaceDE/>
        <w:ind w:left="72"/>
        <w:rPr>
          <w:rStyle w:val="CharacterStyle4"/>
          <w:rFonts w:ascii="Verdana" w:hAnsi="Verdana"/>
          <w:b/>
          <w:spacing w:val="2"/>
          <w:w w:val="105"/>
          <w:sz w:val="22"/>
          <w:szCs w:val="22"/>
          <w:lang w:val="es-ES" w:eastAsia="es-ES"/>
        </w:rPr>
      </w:pPr>
    </w:p>
    <w:p w:rsidR="001D50D3" w:rsidRPr="00B576A7" w:rsidRDefault="001D50D3" w:rsidP="001D50D3">
      <w:pPr>
        <w:pStyle w:val="Style4"/>
        <w:kinsoku w:val="0"/>
        <w:autoSpaceDE/>
        <w:ind w:left="72"/>
        <w:rPr>
          <w:rStyle w:val="CharacterStyle4"/>
          <w:rFonts w:ascii="Verdana" w:hAnsi="Verdana"/>
          <w:b/>
          <w:spacing w:val="2"/>
          <w:w w:val="105"/>
          <w:sz w:val="22"/>
          <w:szCs w:val="22"/>
          <w:lang w:val="es-ES" w:eastAsia="es-ES"/>
        </w:rPr>
      </w:pPr>
    </w:p>
    <w:p w:rsidR="001D50D3" w:rsidRPr="00B576A7" w:rsidRDefault="001D50D3" w:rsidP="001D50D3">
      <w:pPr>
        <w:pStyle w:val="Style4"/>
        <w:kinsoku w:val="0"/>
        <w:autoSpaceDE/>
        <w:ind w:left="72"/>
        <w:rPr>
          <w:rStyle w:val="CharacterStyle4"/>
          <w:rFonts w:ascii="Verdana" w:hAnsi="Verdana"/>
          <w:b/>
          <w:spacing w:val="2"/>
          <w:w w:val="105"/>
          <w:sz w:val="22"/>
          <w:szCs w:val="22"/>
          <w:lang w:val="es-ES" w:eastAsia="es-ES"/>
        </w:rPr>
      </w:pPr>
    </w:p>
    <w:p w:rsidR="001D50D3" w:rsidRPr="00B576A7" w:rsidRDefault="001D50D3" w:rsidP="001D50D3">
      <w:pPr>
        <w:pStyle w:val="Style4"/>
        <w:kinsoku w:val="0"/>
        <w:autoSpaceDE/>
        <w:ind w:left="72"/>
        <w:rPr>
          <w:rStyle w:val="CharacterStyle4"/>
          <w:rFonts w:ascii="Verdana" w:hAnsi="Verdana"/>
          <w:b/>
          <w:spacing w:val="2"/>
          <w:w w:val="105"/>
          <w:sz w:val="22"/>
          <w:szCs w:val="22"/>
          <w:lang w:val="es-ES" w:eastAsia="es-ES"/>
        </w:rPr>
      </w:pPr>
    </w:p>
    <w:p w:rsidR="001D50D3" w:rsidRPr="00B576A7" w:rsidRDefault="001D50D3" w:rsidP="001D50D3">
      <w:pPr>
        <w:pStyle w:val="Style4"/>
        <w:kinsoku w:val="0"/>
        <w:autoSpaceDE/>
        <w:ind w:left="72"/>
        <w:rPr>
          <w:rStyle w:val="CharacterStyle4"/>
          <w:rFonts w:ascii="Verdana" w:hAnsi="Verdana"/>
          <w:spacing w:val="2"/>
          <w:w w:val="105"/>
          <w:sz w:val="22"/>
          <w:szCs w:val="22"/>
          <w:lang w:val="es-ES" w:eastAsia="es-ES"/>
        </w:rPr>
      </w:pPr>
      <w:r>
        <w:rPr>
          <w:rStyle w:val="CharacterStyle4"/>
          <w:rFonts w:ascii="Verdana" w:hAnsi="Verdana"/>
          <w:b/>
          <w:spacing w:val="2"/>
          <w:w w:val="105"/>
          <w:sz w:val="22"/>
          <w:szCs w:val="22"/>
          <w:lang w:val="es-ES" w:eastAsia="es-ES"/>
        </w:rPr>
        <w:tab/>
      </w:r>
      <w:r w:rsidRPr="00B576A7">
        <w:rPr>
          <w:rStyle w:val="CharacterStyle4"/>
          <w:rFonts w:ascii="Verdana" w:hAnsi="Verdana"/>
          <w:b/>
          <w:spacing w:val="2"/>
          <w:w w:val="105"/>
          <w:sz w:val="22"/>
          <w:szCs w:val="22"/>
          <w:lang w:val="es-ES" w:eastAsia="es-ES"/>
        </w:rPr>
        <w:t>Lic. Mario Quesada Aguirre</w:t>
      </w:r>
      <w:r>
        <w:rPr>
          <w:rStyle w:val="CharacterStyle4"/>
          <w:rFonts w:ascii="Verdana" w:hAnsi="Verdana"/>
          <w:b/>
          <w:spacing w:val="2"/>
          <w:w w:val="105"/>
          <w:sz w:val="22"/>
          <w:szCs w:val="22"/>
          <w:lang w:val="es-ES" w:eastAsia="es-ES"/>
        </w:rPr>
        <w:t xml:space="preserve">       </w:t>
      </w:r>
      <w:r w:rsidRPr="00B576A7">
        <w:rPr>
          <w:rStyle w:val="CharacterStyle4"/>
          <w:rFonts w:ascii="Verdana" w:hAnsi="Verdana"/>
          <w:b/>
          <w:spacing w:val="2"/>
          <w:w w:val="105"/>
          <w:sz w:val="22"/>
          <w:szCs w:val="22"/>
          <w:lang w:val="es-ES" w:eastAsia="es-ES"/>
        </w:rPr>
        <w:t>Licda. Marta Luz Pérez Peláez</w:t>
      </w:r>
    </w:p>
    <w:p w:rsidR="001D50D3" w:rsidRPr="00B576A7" w:rsidRDefault="001D50D3" w:rsidP="001D50D3">
      <w:pPr>
        <w:pStyle w:val="Style4"/>
        <w:kinsoku w:val="0"/>
        <w:autoSpaceDE/>
        <w:ind w:left="72"/>
        <w:jc w:val="center"/>
        <w:rPr>
          <w:rStyle w:val="CharacterStyle4"/>
          <w:rFonts w:ascii="Verdana" w:hAnsi="Verdana"/>
          <w:b/>
          <w:spacing w:val="2"/>
          <w:w w:val="105"/>
          <w:sz w:val="22"/>
          <w:szCs w:val="22"/>
          <w:lang w:val="es-ES" w:eastAsia="es-ES"/>
        </w:rPr>
      </w:pPr>
      <w:r w:rsidRPr="00B576A7">
        <w:rPr>
          <w:rStyle w:val="CharacterStyle4"/>
          <w:rFonts w:ascii="Verdana" w:hAnsi="Verdana"/>
          <w:b/>
          <w:spacing w:val="2"/>
          <w:w w:val="105"/>
          <w:sz w:val="22"/>
          <w:szCs w:val="22"/>
          <w:lang w:val="es-ES" w:eastAsia="es-ES"/>
        </w:rPr>
        <w:t>Juez</w:t>
      </w:r>
      <w:r w:rsidRPr="00B576A7">
        <w:rPr>
          <w:rStyle w:val="CharacterStyle4"/>
          <w:rFonts w:ascii="Verdana" w:hAnsi="Verdana"/>
          <w:b/>
          <w:spacing w:val="2"/>
          <w:w w:val="105"/>
          <w:sz w:val="22"/>
          <w:szCs w:val="22"/>
          <w:lang w:val="es-ES" w:eastAsia="es-ES"/>
        </w:rPr>
        <w:tab/>
      </w:r>
      <w:r w:rsidRPr="00B576A7">
        <w:rPr>
          <w:rStyle w:val="CharacterStyle4"/>
          <w:rFonts w:ascii="Verdana" w:hAnsi="Verdana"/>
          <w:b/>
          <w:spacing w:val="2"/>
          <w:w w:val="105"/>
          <w:sz w:val="22"/>
          <w:szCs w:val="22"/>
          <w:lang w:val="es-ES" w:eastAsia="es-ES"/>
        </w:rPr>
        <w:tab/>
      </w:r>
      <w:r w:rsidRPr="00B576A7">
        <w:rPr>
          <w:rStyle w:val="CharacterStyle4"/>
          <w:rFonts w:ascii="Verdana" w:hAnsi="Verdana"/>
          <w:b/>
          <w:spacing w:val="2"/>
          <w:w w:val="105"/>
          <w:sz w:val="22"/>
          <w:szCs w:val="22"/>
          <w:lang w:val="es-ES" w:eastAsia="es-ES"/>
        </w:rPr>
        <w:tab/>
      </w:r>
      <w:r w:rsidRPr="00B576A7">
        <w:rPr>
          <w:rStyle w:val="CharacterStyle4"/>
          <w:rFonts w:ascii="Verdana" w:hAnsi="Verdana"/>
          <w:b/>
          <w:spacing w:val="2"/>
          <w:w w:val="105"/>
          <w:sz w:val="22"/>
          <w:szCs w:val="22"/>
          <w:lang w:val="es-ES" w:eastAsia="es-ES"/>
        </w:rPr>
        <w:tab/>
      </w:r>
      <w:r w:rsidRPr="00B576A7">
        <w:rPr>
          <w:rStyle w:val="CharacterStyle4"/>
          <w:rFonts w:ascii="Verdana" w:hAnsi="Verdana"/>
          <w:b/>
          <w:spacing w:val="2"/>
          <w:w w:val="105"/>
          <w:sz w:val="22"/>
          <w:szCs w:val="22"/>
          <w:lang w:val="es-ES" w:eastAsia="es-ES"/>
        </w:rPr>
        <w:tab/>
        <w:t xml:space="preserve">             Juez</w:t>
      </w:r>
    </w:p>
    <w:p w:rsidR="001D50D3" w:rsidRDefault="001D50D3">
      <w:pPr>
        <w:widowControl/>
        <w:rPr>
          <w:sz w:val="24"/>
          <w:szCs w:val="24"/>
        </w:rPr>
        <w:sectPr w:rsidR="001D50D3">
          <w:pgSz w:w="12134" w:h="15840"/>
          <w:pgMar w:top="1400" w:right="1492" w:bottom="364" w:left="1642" w:header="720" w:footer="720" w:gutter="0"/>
          <w:cols w:space="720"/>
          <w:noEndnote/>
        </w:sectPr>
      </w:pPr>
    </w:p>
    <w:p w:rsidR="0042350F" w:rsidRDefault="0042350F">
      <w:pPr>
        <w:kinsoku w:val="0"/>
        <w:overflowPunct w:val="0"/>
        <w:autoSpaceDE/>
        <w:autoSpaceDN/>
        <w:adjustRightInd/>
        <w:spacing w:after="33" w:line="731" w:lineRule="exact"/>
        <w:ind w:left="720"/>
        <w:textAlignment w:val="baseline"/>
        <w:rPr>
          <w:rFonts w:ascii="Tahoma" w:hAnsi="Tahoma" w:cs="Tahoma"/>
          <w:spacing w:val="2"/>
          <w:sz w:val="25"/>
          <w:szCs w:val="25"/>
          <w:lang w:val="es-ES" w:eastAsia="es-ES"/>
        </w:rPr>
      </w:pPr>
    </w:p>
    <w:p w:rsidR="0042350F" w:rsidRDefault="0042350F">
      <w:pPr>
        <w:widowControl/>
        <w:rPr>
          <w:sz w:val="24"/>
          <w:szCs w:val="24"/>
        </w:rPr>
        <w:sectPr w:rsidR="0042350F">
          <w:type w:val="continuous"/>
          <w:pgSz w:w="12134" w:h="15840"/>
          <w:pgMar w:top="1400" w:right="2566" w:bottom="364" w:left="7008" w:header="720" w:footer="720" w:gutter="0"/>
          <w:cols w:space="720"/>
          <w:noEndnote/>
        </w:sectPr>
      </w:pPr>
    </w:p>
    <w:p w:rsidR="0042350F" w:rsidRDefault="0042350F">
      <w:pPr>
        <w:kinsoku w:val="0"/>
        <w:overflowPunct w:val="0"/>
        <w:autoSpaceDE/>
        <w:autoSpaceDN/>
        <w:adjustRightInd/>
        <w:spacing w:after="1931"/>
        <w:ind w:left="926" w:right="926"/>
        <w:textAlignment w:val="baseline"/>
        <w:rPr>
          <w:sz w:val="24"/>
          <w:szCs w:val="24"/>
        </w:rPr>
      </w:pPr>
    </w:p>
    <w:p w:rsidR="0042350F" w:rsidRDefault="0042350F">
      <w:pPr>
        <w:kinsoku w:val="0"/>
        <w:overflowPunct w:val="0"/>
        <w:autoSpaceDE/>
        <w:autoSpaceDN/>
        <w:adjustRightInd/>
        <w:spacing w:after="1931"/>
        <w:ind w:left="926" w:right="926"/>
        <w:textAlignment w:val="baseline"/>
        <w:rPr>
          <w:sz w:val="24"/>
          <w:szCs w:val="24"/>
        </w:rPr>
        <w:sectPr w:rsidR="0042350F">
          <w:type w:val="continuous"/>
          <w:pgSz w:w="12134" w:h="15840"/>
          <w:pgMar w:top="1400" w:right="3086" w:bottom="364" w:left="6788" w:header="720" w:footer="720" w:gutter="0"/>
          <w:cols w:space="720"/>
          <w:noEndnote/>
        </w:sectPr>
      </w:pPr>
    </w:p>
    <w:p w:rsidR="00E078D2" w:rsidRDefault="00E078D2" w:rsidP="001D50D3">
      <w:pPr>
        <w:kinsoku w:val="0"/>
        <w:overflowPunct w:val="0"/>
        <w:autoSpaceDE/>
        <w:autoSpaceDN/>
        <w:adjustRightInd/>
        <w:spacing w:line="218" w:lineRule="exact"/>
        <w:jc w:val="right"/>
        <w:textAlignment w:val="baseline"/>
        <w:rPr>
          <w:spacing w:val="3"/>
          <w:sz w:val="19"/>
          <w:szCs w:val="19"/>
          <w:lang w:val="es-ES" w:eastAsia="es-ES"/>
        </w:rPr>
      </w:pPr>
    </w:p>
    <w:sectPr w:rsidR="00E078D2">
      <w:type w:val="continuous"/>
      <w:pgSz w:w="12134" w:h="15840"/>
      <w:pgMar w:top="1400" w:right="1538" w:bottom="364" w:left="678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B6F2"/>
    <w:multiLevelType w:val="singleLevel"/>
    <w:tmpl w:val="0F916F85"/>
    <w:lvl w:ilvl="0">
      <w:start w:val="4"/>
      <w:numFmt w:val="decimal"/>
      <w:lvlText w:val="%1.-"/>
      <w:lvlJc w:val="left"/>
      <w:pPr>
        <w:tabs>
          <w:tab w:val="num" w:pos="648"/>
        </w:tabs>
      </w:pPr>
      <w:rPr>
        <w:rFonts w:ascii="Verdana" w:hAnsi="Verdana" w:cs="Verdana"/>
        <w:b/>
        <w:bCs/>
        <w:snapToGrid/>
        <w:sz w:val="24"/>
        <w:szCs w:val="24"/>
      </w:rPr>
    </w:lvl>
  </w:abstractNum>
  <w:abstractNum w:abstractNumId="1" w15:restartNumberingAfterBreak="0">
    <w:nsid w:val="00177FCA"/>
    <w:multiLevelType w:val="singleLevel"/>
    <w:tmpl w:val="3639AA40"/>
    <w:lvl w:ilvl="0">
      <w:start w:val="1"/>
      <w:numFmt w:val="upperRoman"/>
      <w:lvlText w:val="%1."/>
      <w:lvlJc w:val="left"/>
      <w:pPr>
        <w:tabs>
          <w:tab w:val="num" w:pos="432"/>
        </w:tabs>
        <w:ind w:left="72"/>
      </w:pPr>
      <w:rPr>
        <w:rFonts w:ascii="Tahoma" w:hAnsi="Tahoma" w:cs="Tahoma"/>
        <w:snapToGrid/>
        <w:spacing w:val="11"/>
        <w:sz w:val="25"/>
        <w:szCs w:val="25"/>
      </w:rPr>
    </w:lvl>
  </w:abstractNum>
  <w:abstractNum w:abstractNumId="2" w15:restartNumberingAfterBreak="0">
    <w:nsid w:val="01399937"/>
    <w:multiLevelType w:val="singleLevel"/>
    <w:tmpl w:val="023C3109"/>
    <w:lvl w:ilvl="0">
      <w:numFmt w:val="bullet"/>
      <w:lvlText w:val="-"/>
      <w:lvlJc w:val="left"/>
      <w:pPr>
        <w:tabs>
          <w:tab w:val="num" w:pos="648"/>
        </w:tabs>
        <w:ind w:left="432"/>
      </w:pPr>
      <w:rPr>
        <w:rFonts w:ascii="Symbol" w:hAnsi="Symbol" w:cs="Symbol"/>
        <w:snapToGrid/>
        <w:spacing w:val="12"/>
        <w:sz w:val="16"/>
        <w:szCs w:val="16"/>
      </w:rPr>
    </w:lvl>
  </w:abstractNum>
  <w:abstractNum w:abstractNumId="3" w15:restartNumberingAfterBreak="0">
    <w:nsid w:val="01BFF5A2"/>
    <w:multiLevelType w:val="singleLevel"/>
    <w:tmpl w:val="6E135446"/>
    <w:lvl w:ilvl="0">
      <w:start w:val="4"/>
      <w:numFmt w:val="lowerLetter"/>
      <w:lvlText w:val="%1).-"/>
      <w:lvlJc w:val="left"/>
      <w:pPr>
        <w:tabs>
          <w:tab w:val="num" w:pos="720"/>
        </w:tabs>
        <w:ind w:left="144"/>
      </w:pPr>
      <w:rPr>
        <w:rFonts w:ascii="Tahoma" w:hAnsi="Tahoma" w:cs="Tahoma"/>
        <w:snapToGrid/>
        <w:spacing w:val="11"/>
        <w:sz w:val="25"/>
        <w:szCs w:val="25"/>
      </w:rPr>
    </w:lvl>
  </w:abstractNum>
  <w:abstractNum w:abstractNumId="4" w15:restartNumberingAfterBreak="0">
    <w:nsid w:val="022544E8"/>
    <w:multiLevelType w:val="singleLevel"/>
    <w:tmpl w:val="5403D485"/>
    <w:lvl w:ilvl="0">
      <w:numFmt w:val="bullet"/>
      <w:suff w:val="nothing"/>
      <w:lvlText w:val="·"/>
      <w:lvlJc w:val="left"/>
      <w:pPr>
        <w:tabs>
          <w:tab w:val="num" w:pos="288"/>
        </w:tabs>
        <w:ind w:left="288"/>
      </w:pPr>
      <w:rPr>
        <w:rFonts w:ascii="Symbol" w:hAnsi="Symbol" w:cs="Symbol"/>
        <w:b/>
        <w:bCs/>
        <w:snapToGrid/>
        <w:color w:val="FFFFFF"/>
        <w:spacing w:val="-53"/>
        <w:sz w:val="14"/>
        <w:szCs w:val="14"/>
      </w:rPr>
    </w:lvl>
  </w:abstractNum>
  <w:abstractNum w:abstractNumId="5" w15:restartNumberingAfterBreak="0">
    <w:nsid w:val="03D13E01"/>
    <w:multiLevelType w:val="singleLevel"/>
    <w:tmpl w:val="249429EE"/>
    <w:lvl w:ilvl="0">
      <w:start w:val="1"/>
      <w:numFmt w:val="lowerLetter"/>
      <w:lvlText w:val="%1)-"/>
      <w:lvlJc w:val="left"/>
      <w:pPr>
        <w:tabs>
          <w:tab w:val="num" w:pos="576"/>
        </w:tabs>
        <w:ind w:left="72"/>
      </w:pPr>
      <w:rPr>
        <w:rFonts w:ascii="Tahoma" w:hAnsi="Tahoma" w:cs="Tahoma"/>
        <w:snapToGrid/>
        <w:spacing w:val="12"/>
        <w:sz w:val="25"/>
        <w:szCs w:val="25"/>
      </w:rPr>
    </w:lvl>
  </w:abstractNum>
  <w:abstractNum w:abstractNumId="6" w15:restartNumberingAfterBreak="0">
    <w:nsid w:val="04797FFA"/>
    <w:multiLevelType w:val="singleLevel"/>
    <w:tmpl w:val="5AE23129"/>
    <w:lvl w:ilvl="0">
      <w:start w:val="3"/>
      <w:numFmt w:val="decimal"/>
      <w:lvlText w:val="%1)"/>
      <w:lvlJc w:val="left"/>
      <w:pPr>
        <w:tabs>
          <w:tab w:val="num" w:pos="360"/>
        </w:tabs>
        <w:ind w:left="360" w:hanging="360"/>
      </w:pPr>
      <w:rPr>
        <w:rFonts w:ascii="Verdana" w:hAnsi="Verdana" w:cs="Verdana"/>
        <w:snapToGrid/>
        <w:sz w:val="16"/>
        <w:szCs w:val="16"/>
      </w:rPr>
    </w:lvl>
  </w:abstractNum>
  <w:abstractNum w:abstractNumId="7" w15:restartNumberingAfterBreak="0">
    <w:nsid w:val="0620F0F8"/>
    <w:multiLevelType w:val="singleLevel"/>
    <w:tmpl w:val="3DB9C83F"/>
    <w:lvl w:ilvl="0">
      <w:start w:val="1"/>
      <w:numFmt w:val="decimal"/>
      <w:lvlText w:val="%1.-"/>
      <w:lvlJc w:val="left"/>
      <w:pPr>
        <w:tabs>
          <w:tab w:val="num" w:pos="720"/>
        </w:tabs>
        <w:ind w:left="144"/>
      </w:pPr>
      <w:rPr>
        <w:rFonts w:ascii="Tahoma" w:hAnsi="Tahoma" w:cs="Tahoma"/>
        <w:b/>
        <w:bCs/>
        <w:snapToGrid/>
        <w:spacing w:val="14"/>
        <w:sz w:val="24"/>
        <w:szCs w:val="24"/>
      </w:rPr>
    </w:lvl>
  </w:abstractNum>
  <w:abstractNum w:abstractNumId="8" w15:restartNumberingAfterBreak="0">
    <w:nsid w:val="0707CC11"/>
    <w:multiLevelType w:val="singleLevel"/>
    <w:tmpl w:val="332DEB2B"/>
    <w:lvl w:ilvl="0">
      <w:start w:val="1"/>
      <w:numFmt w:val="decimal"/>
      <w:lvlText w:val="%1."/>
      <w:lvlJc w:val="left"/>
      <w:pPr>
        <w:tabs>
          <w:tab w:val="num" w:pos="720"/>
        </w:tabs>
        <w:ind w:left="288"/>
      </w:pPr>
      <w:rPr>
        <w:rFonts w:ascii="Verdana" w:hAnsi="Verdana" w:cs="Verdana"/>
        <w:i/>
        <w:iCs/>
        <w:snapToGrid/>
        <w:sz w:val="24"/>
        <w:szCs w:val="24"/>
      </w:rPr>
    </w:lvl>
  </w:abstractNum>
  <w:abstractNum w:abstractNumId="9" w15:restartNumberingAfterBreak="0">
    <w:nsid w:val="0710F649"/>
    <w:multiLevelType w:val="singleLevel"/>
    <w:tmpl w:val="5654FF07"/>
    <w:lvl w:ilvl="0">
      <w:start w:val="1"/>
      <w:numFmt w:val="lowerLetter"/>
      <w:lvlText w:val="%1).-"/>
      <w:lvlJc w:val="left"/>
      <w:pPr>
        <w:tabs>
          <w:tab w:val="num" w:pos="648"/>
        </w:tabs>
        <w:ind w:left="144"/>
      </w:pPr>
      <w:rPr>
        <w:rFonts w:ascii="Tahoma" w:hAnsi="Tahoma" w:cs="Tahoma"/>
        <w:snapToGrid/>
        <w:spacing w:val="10"/>
        <w:sz w:val="25"/>
        <w:szCs w:val="25"/>
      </w:rPr>
    </w:lvl>
  </w:abstractNum>
  <w:abstractNum w:abstractNumId="10" w15:restartNumberingAfterBreak="0">
    <w:nsid w:val="077EEBB6"/>
    <w:multiLevelType w:val="singleLevel"/>
    <w:tmpl w:val="1BF4F0D9"/>
    <w:lvl w:ilvl="0">
      <w:start w:val="8"/>
      <w:numFmt w:val="lowerLetter"/>
      <w:lvlText w:val="%1).-"/>
      <w:lvlJc w:val="left"/>
      <w:pPr>
        <w:tabs>
          <w:tab w:val="num" w:pos="648"/>
        </w:tabs>
        <w:ind w:left="144"/>
      </w:pPr>
      <w:rPr>
        <w:rFonts w:ascii="Tahoma" w:hAnsi="Tahoma" w:cs="Tahoma"/>
        <w:snapToGrid/>
        <w:spacing w:val="11"/>
        <w:sz w:val="25"/>
        <w:szCs w:val="25"/>
      </w:rPr>
    </w:lvl>
  </w:abstractNum>
  <w:abstractNum w:abstractNumId="11" w15:restartNumberingAfterBreak="0">
    <w:nsid w:val="079F8677"/>
    <w:multiLevelType w:val="singleLevel"/>
    <w:tmpl w:val="E66C595C"/>
    <w:lvl w:ilvl="0">
      <w:start w:val="1"/>
      <w:numFmt w:val="decimal"/>
      <w:lvlText w:val="%1)"/>
      <w:lvlJc w:val="left"/>
      <w:pPr>
        <w:tabs>
          <w:tab w:val="num" w:pos="432"/>
        </w:tabs>
        <w:ind w:left="432" w:hanging="360"/>
      </w:pPr>
      <w:rPr>
        <w:rFonts w:ascii="Verdana" w:hAnsi="Verdana" w:cs="Verdana"/>
        <w:b/>
        <w:snapToGrid/>
        <w:sz w:val="16"/>
        <w:szCs w:val="16"/>
      </w:rPr>
    </w:lvl>
  </w:abstractNum>
  <w:abstractNum w:abstractNumId="12" w15:restartNumberingAfterBreak="0">
    <w:nsid w:val="07B44DD5"/>
    <w:multiLevelType w:val="singleLevel"/>
    <w:tmpl w:val="1A93112B"/>
    <w:lvl w:ilvl="0">
      <w:start w:val="5"/>
      <w:numFmt w:val="upperLetter"/>
      <w:lvlText w:val="%1).-"/>
      <w:lvlJc w:val="left"/>
      <w:pPr>
        <w:tabs>
          <w:tab w:val="num" w:pos="648"/>
        </w:tabs>
        <w:ind w:left="72"/>
      </w:pPr>
      <w:rPr>
        <w:rFonts w:ascii="Verdana" w:hAnsi="Verdana" w:cs="Verdana"/>
        <w:snapToGrid/>
        <w:sz w:val="24"/>
        <w:szCs w:val="24"/>
      </w:rPr>
    </w:lvl>
  </w:abstractNum>
  <w:abstractNum w:abstractNumId="13" w15:restartNumberingAfterBreak="0">
    <w:nsid w:val="07B571ED"/>
    <w:multiLevelType w:val="singleLevel"/>
    <w:tmpl w:val="23C5A982"/>
    <w:lvl w:ilvl="0">
      <w:start w:val="1"/>
      <w:numFmt w:val="upperLetter"/>
      <w:lvlText w:val="%1).-"/>
      <w:lvlJc w:val="left"/>
      <w:pPr>
        <w:tabs>
          <w:tab w:val="num" w:pos="792"/>
        </w:tabs>
        <w:ind w:left="144"/>
      </w:pPr>
      <w:rPr>
        <w:rFonts w:ascii="Tahoma" w:hAnsi="Tahoma" w:cs="Tahoma"/>
        <w:snapToGrid/>
        <w:spacing w:val="12"/>
        <w:sz w:val="25"/>
        <w:szCs w:val="25"/>
      </w:rPr>
    </w:lvl>
  </w:abstractNum>
  <w:abstractNum w:abstractNumId="14" w15:restartNumberingAfterBreak="0">
    <w:nsid w:val="07E18376"/>
    <w:multiLevelType w:val="singleLevel"/>
    <w:tmpl w:val="E6D62466"/>
    <w:lvl w:ilvl="0">
      <w:start w:val="2"/>
      <w:numFmt w:val="lowerLetter"/>
      <w:lvlText w:val="%1)"/>
      <w:lvlJc w:val="left"/>
      <w:pPr>
        <w:tabs>
          <w:tab w:val="num" w:pos="936"/>
        </w:tabs>
        <w:ind w:left="576"/>
      </w:pPr>
      <w:rPr>
        <w:rFonts w:ascii="Arial Narrow" w:hAnsi="Arial Narrow" w:cs="Arial Narrow"/>
        <w:i/>
        <w:iCs/>
        <w:snapToGrid/>
        <w:sz w:val="21"/>
        <w:szCs w:val="21"/>
        <w:vertAlign w:val="baseline"/>
      </w:rPr>
    </w:lvl>
  </w:abstractNum>
  <w:num w:numId="1">
    <w:abstractNumId w:val="11"/>
  </w:num>
  <w:num w:numId="2">
    <w:abstractNumId w:val="4"/>
  </w:num>
  <w:num w:numId="3">
    <w:abstractNumId w:val="4"/>
    <w:lvlOverride w:ilvl="0">
      <w:lvl w:ilvl="0">
        <w:numFmt w:val="bullet"/>
        <w:lvlText w:val="·"/>
        <w:lvlJc w:val="left"/>
        <w:pPr>
          <w:tabs>
            <w:tab w:val="num" w:pos="864"/>
          </w:tabs>
        </w:pPr>
        <w:rPr>
          <w:rFonts w:ascii="Symbol" w:hAnsi="Symbol" w:cs="Symbol"/>
          <w:snapToGrid/>
          <w:color w:val="FFFFFF"/>
          <w:sz w:val="14"/>
          <w:szCs w:val="14"/>
        </w:rPr>
      </w:lvl>
    </w:lvlOverride>
  </w:num>
  <w:num w:numId="4">
    <w:abstractNumId w:val="6"/>
  </w:num>
  <w:num w:numId="5">
    <w:abstractNumId w:val="2"/>
  </w:num>
  <w:num w:numId="6">
    <w:abstractNumId w:val="9"/>
  </w:num>
  <w:num w:numId="7">
    <w:abstractNumId w:val="3"/>
  </w:num>
  <w:num w:numId="8">
    <w:abstractNumId w:val="5"/>
  </w:num>
  <w:num w:numId="9">
    <w:abstractNumId w:val="10"/>
  </w:num>
  <w:num w:numId="10">
    <w:abstractNumId w:val="10"/>
    <w:lvlOverride w:ilvl="0">
      <w:lvl w:ilvl="0">
        <w:numFmt w:val="lowerLetter"/>
        <w:lvlText w:val="%1).-"/>
        <w:lvlJc w:val="left"/>
        <w:pPr>
          <w:tabs>
            <w:tab w:val="num" w:pos="792"/>
          </w:tabs>
          <w:ind w:left="144"/>
        </w:pPr>
        <w:rPr>
          <w:rFonts w:ascii="Tahoma" w:hAnsi="Tahoma" w:cs="Tahoma"/>
          <w:snapToGrid/>
          <w:spacing w:val="10"/>
          <w:sz w:val="25"/>
          <w:szCs w:val="25"/>
        </w:rPr>
      </w:lvl>
    </w:lvlOverride>
  </w:num>
  <w:num w:numId="11">
    <w:abstractNumId w:val="7"/>
  </w:num>
  <w:num w:numId="12">
    <w:abstractNumId w:val="7"/>
    <w:lvlOverride w:ilvl="0">
      <w:lvl w:ilvl="0">
        <w:numFmt w:val="decimal"/>
        <w:lvlText w:val="%1.-"/>
        <w:lvlJc w:val="left"/>
        <w:pPr>
          <w:tabs>
            <w:tab w:val="num" w:pos="576"/>
          </w:tabs>
          <w:ind w:left="144"/>
        </w:pPr>
        <w:rPr>
          <w:rFonts w:ascii="Tahoma" w:hAnsi="Tahoma" w:cs="Tahoma"/>
          <w:b/>
          <w:bCs/>
          <w:snapToGrid/>
          <w:spacing w:val="18"/>
          <w:sz w:val="24"/>
          <w:szCs w:val="24"/>
        </w:rPr>
      </w:lvl>
    </w:lvlOverride>
  </w:num>
  <w:num w:numId="13">
    <w:abstractNumId w:val="13"/>
  </w:num>
  <w:num w:numId="14">
    <w:abstractNumId w:val="13"/>
    <w:lvlOverride w:ilvl="0">
      <w:lvl w:ilvl="0">
        <w:numFmt w:val="upperLetter"/>
        <w:lvlText w:val="%1).-"/>
        <w:lvlJc w:val="left"/>
        <w:pPr>
          <w:tabs>
            <w:tab w:val="num" w:pos="936"/>
          </w:tabs>
          <w:ind w:left="144"/>
        </w:pPr>
        <w:rPr>
          <w:rFonts w:ascii="Tahoma" w:hAnsi="Tahoma" w:cs="Tahoma"/>
          <w:snapToGrid/>
          <w:spacing w:val="12"/>
          <w:sz w:val="25"/>
          <w:szCs w:val="25"/>
        </w:rPr>
      </w:lvl>
    </w:lvlOverride>
  </w:num>
  <w:num w:numId="15">
    <w:abstractNumId w:val="12"/>
  </w:num>
  <w:num w:numId="16">
    <w:abstractNumId w:val="12"/>
    <w:lvlOverride w:ilvl="0">
      <w:lvl w:ilvl="0">
        <w:numFmt w:val="upperLetter"/>
        <w:lvlText w:val="%1).-"/>
        <w:lvlJc w:val="left"/>
        <w:pPr>
          <w:tabs>
            <w:tab w:val="num" w:pos="576"/>
          </w:tabs>
          <w:ind w:left="72"/>
        </w:pPr>
        <w:rPr>
          <w:rFonts w:ascii="Verdana" w:hAnsi="Verdana" w:cs="Verdana"/>
          <w:snapToGrid/>
          <w:sz w:val="24"/>
          <w:szCs w:val="24"/>
        </w:rPr>
      </w:lvl>
    </w:lvlOverride>
  </w:num>
  <w:num w:numId="17">
    <w:abstractNumId w:val="0"/>
  </w:num>
  <w:num w:numId="18">
    <w:abstractNumId w:val="0"/>
    <w:lvlOverride w:ilvl="0">
      <w:lvl w:ilvl="0">
        <w:numFmt w:val="decimal"/>
        <w:lvlText w:val="%1.-"/>
        <w:lvlJc w:val="left"/>
        <w:pPr>
          <w:tabs>
            <w:tab w:val="num" w:pos="504"/>
          </w:tabs>
        </w:pPr>
        <w:rPr>
          <w:rFonts w:ascii="Verdana" w:hAnsi="Verdana" w:cs="Verdana"/>
          <w:b/>
          <w:bCs/>
          <w:snapToGrid/>
          <w:spacing w:val="-2"/>
          <w:sz w:val="24"/>
          <w:szCs w:val="24"/>
        </w:rPr>
      </w:lvl>
    </w:lvlOverride>
  </w:num>
  <w:num w:numId="19">
    <w:abstractNumId w:val="14"/>
  </w:num>
  <w:num w:numId="20">
    <w:abstractNumId w:val="14"/>
    <w:lvlOverride w:ilvl="0">
      <w:lvl w:ilvl="0">
        <w:numFmt w:val="lowerLetter"/>
        <w:lvlText w:val="%1)"/>
        <w:lvlJc w:val="left"/>
        <w:pPr>
          <w:tabs>
            <w:tab w:val="num" w:pos="936"/>
          </w:tabs>
          <w:ind w:left="576"/>
        </w:pPr>
        <w:rPr>
          <w:rFonts w:ascii="Verdana" w:hAnsi="Verdana" w:cs="Verdana"/>
          <w:i/>
          <w:iCs/>
          <w:snapToGrid/>
          <w:sz w:val="21"/>
          <w:szCs w:val="21"/>
        </w:rPr>
      </w:lvl>
    </w:lvlOverride>
  </w:num>
  <w:num w:numId="21">
    <w:abstractNumId w:val="8"/>
  </w:num>
  <w:num w:numId="22">
    <w:abstractNumId w:val="1"/>
  </w:num>
  <w:num w:numId="23">
    <w:abstractNumId w:val="1"/>
    <w:lvlOverride w:ilvl="0">
      <w:lvl w:ilvl="0">
        <w:numFmt w:val="upperRoman"/>
        <w:lvlText w:val="%1."/>
        <w:lvlJc w:val="left"/>
        <w:pPr>
          <w:tabs>
            <w:tab w:val="num" w:pos="504"/>
          </w:tabs>
          <w:ind w:left="72"/>
        </w:pPr>
        <w:rPr>
          <w:rFonts w:ascii="Tahoma" w:hAnsi="Tahoma" w:cs="Tahoma"/>
          <w:snapToGrid/>
          <w:sz w:val="25"/>
          <w:szCs w:val="25"/>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C6"/>
    <w:rsid w:val="000101F7"/>
    <w:rsid w:val="001D50D3"/>
    <w:rsid w:val="0042350F"/>
    <w:rsid w:val="006535C6"/>
    <w:rsid w:val="0088665C"/>
    <w:rsid w:val="00C13310"/>
    <w:rsid w:val="00E078D2"/>
    <w:rsid w:val="00E4027F"/>
    <w:rsid w:val="00F44F1F"/>
    <w:rsid w:val="00FA14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FDAD31"/>
  <w15:docId w15:val="{7D59E472-4F62-4916-AB34-52FD75D4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4">
    <w:name w:val="Style 4"/>
    <w:basedOn w:val="Normal"/>
    <w:uiPriority w:val="99"/>
    <w:rsid w:val="001D50D3"/>
    <w:rPr>
      <w:rFonts w:eastAsia="Times New Roman"/>
      <w:sz w:val="21"/>
      <w:szCs w:val="21"/>
    </w:rPr>
  </w:style>
  <w:style w:type="character" w:customStyle="1" w:styleId="CharacterStyle4">
    <w:name w:val="Character Style 4"/>
    <w:uiPriority w:val="99"/>
    <w:rsid w:val="001D50D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13585</Words>
  <Characters>74718</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brodriguez</dc:creator>
  <cp:lastModifiedBy>Gerardo Vargas Arguello</cp:lastModifiedBy>
  <cp:revision>2</cp:revision>
  <dcterms:created xsi:type="dcterms:W3CDTF">2019-09-11T15:18:00Z</dcterms:created>
  <dcterms:modified xsi:type="dcterms:W3CDTF">2019-09-11T15:18:00Z</dcterms:modified>
</cp:coreProperties>
</file>